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AFAFA"/>
        <w:tblCellMar>
          <w:top w:w="15" w:type="dxa"/>
          <w:left w:w="15" w:type="dxa"/>
          <w:bottom w:w="15" w:type="dxa"/>
          <w:right w:w="15" w:type="dxa"/>
        </w:tblCellMar>
        <w:tblLook w:val="04A0" w:firstRow="1" w:lastRow="0" w:firstColumn="1" w:lastColumn="0" w:noHBand="0" w:noVBand="1"/>
      </w:tblPr>
      <w:tblGrid>
        <w:gridCol w:w="530"/>
        <w:gridCol w:w="8308"/>
      </w:tblGrid>
      <w:tr w:rsidR="000D57BF" w:rsidRPr="000D57BF" w:rsidTr="004A3148">
        <w:tc>
          <w:tcPr>
            <w:tcW w:w="0" w:type="auto"/>
            <w:gridSpan w:val="2"/>
            <w:shd w:val="clear" w:color="auto" w:fill="FAFAFA"/>
            <w:tcMar>
              <w:top w:w="0" w:type="dxa"/>
              <w:left w:w="0" w:type="dxa"/>
              <w:bottom w:w="0" w:type="dxa"/>
              <w:right w:w="0" w:type="dxa"/>
            </w:tcMar>
            <w:vAlign w:val="center"/>
            <w:hideMark/>
          </w:tcPr>
          <w:p w:rsidR="000D57BF" w:rsidRPr="000D57BF" w:rsidRDefault="000D57BF" w:rsidP="000D57BF">
            <w:pPr>
              <w:jc w:val="both"/>
            </w:pPr>
            <w:r w:rsidRPr="000D57BF">
              <w:t>En cumplimiento de lo dispuesto en el artículo 74, fracción VI de la Constitución Política de los Estados Unidos Mexicanos, el Ejecutivo Estatal somete a consideración de la Cámara de Diputados del Congreso del Estado libre y soberano de Baja California Sur, la Cuenta Pública correspondiente al ejercicio fiscal de 201</w:t>
            </w:r>
            <w:r>
              <w:t>5</w:t>
            </w:r>
            <w:r w:rsidRPr="000D57BF">
              <w:t>.</w:t>
            </w:r>
          </w:p>
          <w:p w:rsidR="000D57BF" w:rsidRPr="000D57BF" w:rsidRDefault="000D57BF" w:rsidP="000D57BF">
            <w:pPr>
              <w:jc w:val="both"/>
            </w:pPr>
            <w:r w:rsidRPr="000D57BF">
              <w:t xml:space="preserve">La Cuenta Pública que se presenta fortalece la cultura de rendición de cuentas y la práctica cotidiana de la transparencia en la gestión pública. En estricto apego </w:t>
            </w:r>
            <w:r w:rsidR="00AC2967">
              <w:t xml:space="preserve">a lo establecido en el capítulo II, específicamente en los </w:t>
            </w:r>
            <w:r w:rsidRPr="000D57BF">
              <w:t xml:space="preserve"> artículos 52, 53 y 54 de la Ley General de Contabilidad Gubernamental, y al Acuerdo por el que se armoniza la estructura de las cuentas públicas emitido por el Consejo Nacional de Armonización Contable y publicado en el Diario Oficial de la Federación el 30 de diciembre de 2013, la Cuenta Pública que se presenta obedece a la estructura y contenidos establecidos en los ordenamientos antes señalados.</w:t>
            </w:r>
          </w:p>
          <w:p w:rsidR="000D57BF" w:rsidRPr="000D57BF" w:rsidRDefault="000D57BF" w:rsidP="000D57BF">
            <w:pPr>
              <w:jc w:val="both"/>
            </w:pPr>
            <w:r w:rsidRPr="000D57BF">
              <w:t>En razón de lo anterior, la Cuenta Pública se presenta con la siguiente estructura:</w:t>
            </w:r>
          </w:p>
        </w:tc>
      </w:tr>
      <w:tr w:rsidR="000D57BF" w:rsidRPr="000D57BF" w:rsidTr="004A3148">
        <w:tc>
          <w:tcPr>
            <w:tcW w:w="0" w:type="auto"/>
            <w:gridSpan w:val="2"/>
            <w:shd w:val="clear" w:color="auto" w:fill="FAFAFA"/>
            <w:tcMar>
              <w:top w:w="0" w:type="dxa"/>
              <w:left w:w="0" w:type="dxa"/>
              <w:bottom w:w="0" w:type="dxa"/>
              <w:right w:w="0" w:type="dxa"/>
            </w:tcMar>
            <w:vAlign w:val="center"/>
            <w:hideMark/>
          </w:tcPr>
          <w:p w:rsidR="000D57BF" w:rsidRPr="000D57BF" w:rsidRDefault="000D57BF" w:rsidP="000D57BF">
            <w:pPr>
              <w:spacing w:after="0" w:line="336" w:lineRule="atLeast"/>
              <w:jc w:val="both"/>
              <w:rPr>
                <w:rFonts w:ascii="Helvetica" w:eastAsia="Times New Roman" w:hAnsi="Helvetica" w:cs="Helvetica"/>
                <w:color w:val="444444"/>
                <w:sz w:val="21"/>
                <w:szCs w:val="21"/>
                <w:lang w:eastAsia="es-MX"/>
              </w:rPr>
            </w:pPr>
          </w:p>
        </w:tc>
      </w:tr>
      <w:tr w:rsidR="000D57BF" w:rsidRPr="000D57BF" w:rsidTr="004A3148">
        <w:tc>
          <w:tcPr>
            <w:tcW w:w="300" w:type="pct"/>
            <w:shd w:val="clear" w:color="auto" w:fill="FAFAFA"/>
            <w:tcMar>
              <w:top w:w="0" w:type="dxa"/>
              <w:left w:w="0" w:type="dxa"/>
              <w:bottom w:w="0" w:type="dxa"/>
              <w:right w:w="0" w:type="dxa"/>
            </w:tcMar>
            <w:vAlign w:val="center"/>
            <w:hideMark/>
          </w:tcPr>
          <w:p w:rsidR="000D57BF" w:rsidRPr="000D57BF" w:rsidRDefault="000D57BF" w:rsidP="000D57BF">
            <w:pPr>
              <w:spacing w:after="0" w:line="336" w:lineRule="atLeast"/>
              <w:jc w:val="both"/>
              <w:rPr>
                <w:rFonts w:ascii="Helvetica" w:eastAsia="Times New Roman" w:hAnsi="Helvetica" w:cs="Helvetica"/>
                <w:color w:val="444444"/>
                <w:sz w:val="21"/>
                <w:szCs w:val="21"/>
                <w:lang w:eastAsia="es-MX"/>
              </w:rPr>
            </w:pPr>
          </w:p>
        </w:tc>
        <w:tc>
          <w:tcPr>
            <w:tcW w:w="4700" w:type="pct"/>
            <w:shd w:val="clear" w:color="auto" w:fill="FAFAFA"/>
            <w:tcMar>
              <w:top w:w="0" w:type="dxa"/>
              <w:left w:w="0" w:type="dxa"/>
              <w:bottom w:w="0" w:type="dxa"/>
              <w:right w:w="0" w:type="dxa"/>
            </w:tcMar>
            <w:vAlign w:val="center"/>
            <w:hideMark/>
          </w:tcPr>
          <w:p w:rsidR="000D57BF" w:rsidRDefault="000D57BF" w:rsidP="000D57BF">
            <w:pPr>
              <w:spacing w:after="0" w:line="336" w:lineRule="atLeast"/>
              <w:jc w:val="both"/>
              <w:rPr>
                <w:rFonts w:ascii="Helvetica" w:eastAsia="Times New Roman" w:hAnsi="Helvetica" w:cs="Helvetica"/>
                <w:b/>
                <w:bCs/>
                <w:color w:val="444444"/>
                <w:sz w:val="21"/>
                <w:szCs w:val="21"/>
                <w:lang w:eastAsia="es-MX"/>
              </w:rPr>
            </w:pPr>
            <w:r w:rsidRPr="000D57BF">
              <w:rPr>
                <w:rFonts w:ascii="Helvetica" w:eastAsia="Times New Roman" w:hAnsi="Helvetica" w:cs="Helvetica"/>
                <w:b/>
                <w:bCs/>
                <w:color w:val="444444"/>
                <w:sz w:val="21"/>
                <w:szCs w:val="21"/>
                <w:lang w:eastAsia="es-MX"/>
              </w:rPr>
              <w:t>Gobierno Estatal</w:t>
            </w:r>
          </w:p>
          <w:p w:rsidR="000D57BF" w:rsidRDefault="000D57BF" w:rsidP="000D57BF">
            <w:pPr>
              <w:spacing w:after="0" w:line="336" w:lineRule="atLeast"/>
              <w:jc w:val="both"/>
              <w:rPr>
                <w:rFonts w:ascii="Helvetica" w:eastAsia="Times New Roman" w:hAnsi="Helvetica" w:cs="Helvetica"/>
                <w:color w:val="444444"/>
                <w:sz w:val="21"/>
                <w:szCs w:val="21"/>
                <w:lang w:eastAsia="es-MX"/>
              </w:rPr>
            </w:pPr>
            <w:r w:rsidRPr="000D57BF">
              <w:rPr>
                <w:rFonts w:ascii="Helvetica" w:eastAsia="Times New Roman" w:hAnsi="Helvetica" w:cs="Helvetica"/>
                <w:color w:val="444444"/>
                <w:sz w:val="21"/>
                <w:szCs w:val="21"/>
                <w:lang w:eastAsia="es-MX"/>
              </w:rPr>
              <w:t>-Tomo I Resultados Generales</w:t>
            </w:r>
          </w:p>
          <w:p w:rsidR="000D57BF" w:rsidRDefault="000D57BF" w:rsidP="000D57BF">
            <w:pPr>
              <w:spacing w:after="0" w:line="336" w:lineRule="atLeast"/>
              <w:jc w:val="both"/>
              <w:rPr>
                <w:rFonts w:ascii="Helvetica" w:eastAsia="Times New Roman" w:hAnsi="Helvetica" w:cs="Helvetica"/>
                <w:color w:val="444444"/>
                <w:sz w:val="21"/>
                <w:szCs w:val="21"/>
                <w:lang w:eastAsia="es-MX"/>
              </w:rPr>
            </w:pPr>
            <w:r w:rsidRPr="000D57BF">
              <w:rPr>
                <w:rFonts w:ascii="Helvetica" w:eastAsia="Times New Roman" w:hAnsi="Helvetica" w:cs="Helvetica"/>
                <w:color w:val="444444"/>
                <w:sz w:val="21"/>
                <w:szCs w:val="21"/>
                <w:lang w:eastAsia="es-MX"/>
              </w:rPr>
              <w:t>-Tomo II Gobierno Estatal Consolidado</w:t>
            </w:r>
          </w:p>
          <w:p w:rsidR="000D57BF" w:rsidRDefault="000D57BF" w:rsidP="000D57BF">
            <w:pPr>
              <w:spacing w:after="0" w:line="336" w:lineRule="atLeast"/>
              <w:jc w:val="both"/>
              <w:rPr>
                <w:rFonts w:ascii="Helvetica" w:eastAsia="Times New Roman" w:hAnsi="Helvetica" w:cs="Helvetica"/>
                <w:color w:val="444444"/>
                <w:sz w:val="21"/>
                <w:szCs w:val="21"/>
                <w:lang w:eastAsia="es-MX"/>
              </w:rPr>
            </w:pPr>
            <w:r w:rsidRPr="000D57BF">
              <w:rPr>
                <w:rFonts w:ascii="Helvetica" w:eastAsia="Times New Roman" w:hAnsi="Helvetica" w:cs="Helvetica"/>
                <w:color w:val="444444"/>
                <w:sz w:val="21"/>
                <w:szCs w:val="21"/>
                <w:lang w:eastAsia="es-MX"/>
              </w:rPr>
              <w:t>-Tomo III Poder Ejecutivo</w:t>
            </w:r>
          </w:p>
          <w:p w:rsidR="000D57BF" w:rsidRDefault="000D57BF" w:rsidP="000D57BF">
            <w:pPr>
              <w:spacing w:after="0" w:line="336" w:lineRule="atLeast"/>
              <w:jc w:val="both"/>
              <w:rPr>
                <w:rFonts w:ascii="Helvetica" w:eastAsia="Times New Roman" w:hAnsi="Helvetica" w:cs="Helvetica"/>
                <w:color w:val="444444"/>
                <w:sz w:val="21"/>
                <w:szCs w:val="21"/>
                <w:lang w:eastAsia="es-MX"/>
              </w:rPr>
            </w:pPr>
            <w:r w:rsidRPr="000D57BF">
              <w:rPr>
                <w:rFonts w:ascii="Helvetica" w:eastAsia="Times New Roman" w:hAnsi="Helvetica" w:cs="Helvetica"/>
                <w:color w:val="444444"/>
                <w:sz w:val="21"/>
                <w:szCs w:val="21"/>
                <w:lang w:eastAsia="es-MX"/>
              </w:rPr>
              <w:t>-Tomo IV Poder Legislativo</w:t>
            </w:r>
          </w:p>
          <w:p w:rsidR="000D57BF" w:rsidRDefault="000D57BF" w:rsidP="000D57BF">
            <w:pPr>
              <w:spacing w:after="0" w:line="336" w:lineRule="atLeast"/>
              <w:jc w:val="both"/>
              <w:rPr>
                <w:rFonts w:ascii="Helvetica" w:eastAsia="Times New Roman" w:hAnsi="Helvetica" w:cs="Helvetica"/>
                <w:color w:val="444444"/>
                <w:sz w:val="21"/>
                <w:szCs w:val="21"/>
                <w:lang w:eastAsia="es-MX"/>
              </w:rPr>
            </w:pPr>
            <w:r w:rsidRPr="000D57BF">
              <w:rPr>
                <w:rFonts w:ascii="Helvetica" w:eastAsia="Times New Roman" w:hAnsi="Helvetica" w:cs="Helvetica"/>
                <w:color w:val="444444"/>
                <w:sz w:val="21"/>
                <w:szCs w:val="21"/>
                <w:lang w:eastAsia="es-MX"/>
              </w:rPr>
              <w:t>-Tomo V Poder Judicial</w:t>
            </w:r>
          </w:p>
          <w:p w:rsidR="000D57BF" w:rsidRDefault="000D57BF" w:rsidP="000D57BF">
            <w:pPr>
              <w:spacing w:after="0" w:line="336" w:lineRule="atLeast"/>
              <w:jc w:val="both"/>
              <w:rPr>
                <w:rFonts w:ascii="Helvetica" w:eastAsia="Times New Roman" w:hAnsi="Helvetica" w:cs="Helvetica"/>
                <w:color w:val="444444"/>
                <w:sz w:val="21"/>
                <w:szCs w:val="21"/>
                <w:lang w:eastAsia="es-MX"/>
              </w:rPr>
            </w:pPr>
            <w:r w:rsidRPr="000D57BF">
              <w:rPr>
                <w:rFonts w:ascii="Helvetica" w:eastAsia="Times New Roman" w:hAnsi="Helvetica" w:cs="Helvetica"/>
                <w:color w:val="444444"/>
                <w:sz w:val="21"/>
                <w:szCs w:val="21"/>
                <w:lang w:eastAsia="es-MX"/>
              </w:rPr>
              <w:t>-Tomo VI Órganos Autónomos</w:t>
            </w:r>
          </w:p>
          <w:p w:rsidR="000D57BF" w:rsidRDefault="000D57BF" w:rsidP="000D57BF">
            <w:pPr>
              <w:spacing w:after="0" w:line="336" w:lineRule="atLeast"/>
              <w:jc w:val="both"/>
              <w:rPr>
                <w:rFonts w:ascii="Helvetica" w:eastAsia="Times New Roman" w:hAnsi="Helvetica" w:cs="Helvetica"/>
                <w:b/>
                <w:bCs/>
                <w:color w:val="444444"/>
                <w:sz w:val="21"/>
                <w:szCs w:val="21"/>
                <w:lang w:eastAsia="es-MX"/>
              </w:rPr>
            </w:pPr>
          </w:p>
          <w:p w:rsidR="000D57BF" w:rsidRDefault="000D57BF" w:rsidP="000D57BF">
            <w:pPr>
              <w:spacing w:after="0" w:line="336" w:lineRule="atLeast"/>
              <w:jc w:val="both"/>
              <w:rPr>
                <w:rFonts w:ascii="Helvetica" w:eastAsia="Times New Roman" w:hAnsi="Helvetica" w:cs="Helvetica"/>
                <w:b/>
                <w:bCs/>
                <w:color w:val="444444"/>
                <w:sz w:val="21"/>
                <w:szCs w:val="21"/>
                <w:lang w:eastAsia="es-MX"/>
              </w:rPr>
            </w:pPr>
            <w:r w:rsidRPr="000D57BF">
              <w:rPr>
                <w:rFonts w:ascii="Helvetica" w:eastAsia="Times New Roman" w:hAnsi="Helvetica" w:cs="Helvetica"/>
                <w:b/>
                <w:bCs/>
                <w:color w:val="444444"/>
                <w:sz w:val="21"/>
                <w:szCs w:val="21"/>
                <w:lang w:eastAsia="es-MX"/>
              </w:rPr>
              <w:t>Sector Paraestatal, Descentralizados y de Participación Estatal</w:t>
            </w:r>
          </w:p>
          <w:p w:rsidR="000D57BF" w:rsidRDefault="000D57BF" w:rsidP="000D57BF">
            <w:pPr>
              <w:spacing w:after="0" w:line="336" w:lineRule="atLeast"/>
              <w:jc w:val="both"/>
              <w:rPr>
                <w:rFonts w:ascii="Helvetica" w:eastAsia="Times New Roman" w:hAnsi="Helvetica" w:cs="Helvetica"/>
                <w:color w:val="444444"/>
                <w:sz w:val="21"/>
                <w:szCs w:val="21"/>
                <w:lang w:eastAsia="es-MX"/>
              </w:rPr>
            </w:pPr>
            <w:r w:rsidRPr="000D57BF">
              <w:rPr>
                <w:rFonts w:ascii="Helvetica" w:eastAsia="Times New Roman" w:hAnsi="Helvetica" w:cs="Helvetica"/>
                <w:color w:val="444444"/>
                <w:sz w:val="21"/>
                <w:szCs w:val="21"/>
                <w:lang w:eastAsia="es-MX"/>
              </w:rPr>
              <w:t>-Tomo VII Sector Paraestatal</w:t>
            </w:r>
          </w:p>
          <w:p w:rsidR="000D57BF" w:rsidRPr="000D57BF" w:rsidRDefault="000D57BF" w:rsidP="000D57BF">
            <w:pPr>
              <w:spacing w:after="0" w:line="336" w:lineRule="atLeast"/>
              <w:jc w:val="both"/>
              <w:rPr>
                <w:rFonts w:ascii="Helvetica" w:eastAsia="Times New Roman" w:hAnsi="Helvetica" w:cs="Helvetica"/>
                <w:color w:val="444444"/>
                <w:sz w:val="21"/>
                <w:szCs w:val="21"/>
                <w:lang w:eastAsia="es-MX"/>
              </w:rPr>
            </w:pPr>
          </w:p>
        </w:tc>
      </w:tr>
      <w:tr w:rsidR="000D57BF" w:rsidRPr="000D57BF" w:rsidTr="004A3148">
        <w:tc>
          <w:tcPr>
            <w:tcW w:w="0" w:type="auto"/>
            <w:gridSpan w:val="2"/>
            <w:shd w:val="clear" w:color="auto" w:fill="FAFAFA"/>
            <w:tcMar>
              <w:top w:w="0" w:type="dxa"/>
              <w:left w:w="0" w:type="dxa"/>
              <w:bottom w:w="0" w:type="dxa"/>
              <w:right w:w="0" w:type="dxa"/>
            </w:tcMar>
            <w:vAlign w:val="center"/>
            <w:hideMark/>
          </w:tcPr>
          <w:p w:rsidR="000D57BF" w:rsidRPr="000D57BF" w:rsidRDefault="000D57BF" w:rsidP="000D57BF">
            <w:pPr>
              <w:spacing w:after="0" w:line="336" w:lineRule="atLeast"/>
              <w:jc w:val="both"/>
              <w:rPr>
                <w:rFonts w:ascii="Helvetica" w:eastAsia="Times New Roman" w:hAnsi="Helvetica" w:cs="Helvetica"/>
                <w:color w:val="444444"/>
                <w:sz w:val="21"/>
                <w:szCs w:val="21"/>
                <w:lang w:eastAsia="es-MX"/>
              </w:rPr>
            </w:pPr>
          </w:p>
        </w:tc>
      </w:tr>
      <w:tr w:rsidR="000D57BF" w:rsidRPr="000D57BF" w:rsidTr="004A3148">
        <w:tc>
          <w:tcPr>
            <w:tcW w:w="0" w:type="auto"/>
            <w:gridSpan w:val="2"/>
            <w:shd w:val="clear" w:color="auto" w:fill="FAFAFA"/>
            <w:tcMar>
              <w:top w:w="0" w:type="dxa"/>
              <w:left w:w="0" w:type="dxa"/>
              <w:bottom w:w="0" w:type="dxa"/>
              <w:right w:w="0" w:type="dxa"/>
            </w:tcMar>
            <w:vAlign w:val="center"/>
            <w:hideMark/>
          </w:tcPr>
          <w:p w:rsidR="000D57BF" w:rsidRPr="000D57BF" w:rsidRDefault="000D57BF" w:rsidP="000D57BF">
            <w:pPr>
              <w:spacing w:after="150" w:line="336" w:lineRule="atLeast"/>
              <w:jc w:val="both"/>
              <w:rPr>
                <w:rFonts w:ascii="Helvetica" w:eastAsia="Times New Roman" w:hAnsi="Helvetica" w:cs="Helvetica"/>
                <w:color w:val="444444"/>
                <w:sz w:val="21"/>
                <w:szCs w:val="21"/>
                <w:lang w:eastAsia="es-MX"/>
              </w:rPr>
            </w:pPr>
            <w:r w:rsidRPr="000D57BF">
              <w:rPr>
                <w:rFonts w:ascii="Helvetica" w:eastAsia="Times New Roman" w:hAnsi="Helvetica" w:cs="Helvetica"/>
                <w:color w:val="444444"/>
                <w:sz w:val="21"/>
                <w:szCs w:val="21"/>
                <w:lang w:eastAsia="es-MX"/>
              </w:rPr>
              <w:t>En el</w:t>
            </w:r>
            <w:r w:rsidRPr="000D57BF">
              <w:rPr>
                <w:rFonts w:ascii="Helvetica" w:eastAsia="Times New Roman" w:hAnsi="Helvetica" w:cs="Helvetica"/>
                <w:b/>
                <w:bCs/>
                <w:color w:val="444444"/>
                <w:sz w:val="21"/>
                <w:szCs w:val="21"/>
                <w:lang w:eastAsia="es-MX"/>
              </w:rPr>
              <w:t> Tomo I</w:t>
            </w:r>
            <w:r w:rsidRPr="000D57BF">
              <w:rPr>
                <w:rFonts w:ascii="Helvetica" w:eastAsia="Times New Roman" w:hAnsi="Helvetica" w:cs="Helvetica"/>
                <w:color w:val="444444"/>
                <w:sz w:val="21"/>
                <w:szCs w:val="21"/>
                <w:lang w:eastAsia="es-MX"/>
              </w:rPr>
              <w:t>, presenta un análisis cualitativo de los indicadores de la postura fiscal del Sector Público Presupuestario, estableciendo su vínculo con los objetivos y prioridades definidas en la materia en el programa económico anual y se integra por los siguientes apartados: Panorama Económico, Ingresos Presupuestarios, Gastos Presupuestarios</w:t>
            </w:r>
            <w:r w:rsidR="005B0D11">
              <w:rPr>
                <w:rFonts w:ascii="Helvetica" w:eastAsia="Times New Roman" w:hAnsi="Helvetica" w:cs="Helvetica"/>
                <w:color w:val="444444"/>
                <w:sz w:val="21"/>
                <w:szCs w:val="21"/>
                <w:lang w:eastAsia="es-MX"/>
              </w:rPr>
              <w:t xml:space="preserve"> y</w:t>
            </w:r>
            <w:r w:rsidRPr="000D57BF">
              <w:rPr>
                <w:rFonts w:ascii="Helvetica" w:eastAsia="Times New Roman" w:hAnsi="Helvetica" w:cs="Helvetica"/>
                <w:color w:val="444444"/>
                <w:sz w:val="21"/>
                <w:szCs w:val="21"/>
                <w:lang w:eastAsia="es-MX"/>
              </w:rPr>
              <w:t xml:space="preserve"> Deuda Pública</w:t>
            </w:r>
            <w:r w:rsidR="005B0D11">
              <w:rPr>
                <w:rFonts w:ascii="Helvetica" w:eastAsia="Times New Roman" w:hAnsi="Helvetica" w:cs="Helvetica"/>
                <w:color w:val="444444"/>
                <w:sz w:val="21"/>
                <w:szCs w:val="21"/>
                <w:lang w:eastAsia="es-MX"/>
              </w:rPr>
              <w:t>.</w:t>
            </w:r>
          </w:p>
          <w:p w:rsidR="000D57BF" w:rsidRPr="000D57BF" w:rsidRDefault="000D57BF" w:rsidP="000D57BF">
            <w:pPr>
              <w:spacing w:after="150" w:line="336" w:lineRule="atLeast"/>
              <w:jc w:val="both"/>
              <w:rPr>
                <w:rFonts w:ascii="Helvetica" w:eastAsia="Times New Roman" w:hAnsi="Helvetica" w:cs="Helvetica"/>
                <w:color w:val="444444"/>
                <w:sz w:val="21"/>
                <w:szCs w:val="21"/>
                <w:lang w:eastAsia="es-MX"/>
              </w:rPr>
            </w:pPr>
            <w:r w:rsidRPr="000D57BF">
              <w:rPr>
                <w:rFonts w:ascii="Helvetica" w:eastAsia="Times New Roman" w:hAnsi="Helvetica" w:cs="Helvetica"/>
                <w:color w:val="444444"/>
                <w:sz w:val="21"/>
                <w:szCs w:val="21"/>
                <w:lang w:eastAsia="es-MX"/>
              </w:rPr>
              <w:t>El </w:t>
            </w:r>
            <w:r w:rsidRPr="000D57BF">
              <w:rPr>
                <w:rFonts w:ascii="Helvetica" w:eastAsia="Times New Roman" w:hAnsi="Helvetica" w:cs="Helvetica"/>
                <w:b/>
                <w:bCs/>
                <w:color w:val="444444"/>
                <w:sz w:val="21"/>
                <w:szCs w:val="21"/>
                <w:lang w:eastAsia="es-MX"/>
              </w:rPr>
              <w:t>Tomo II Gobierno Estatal</w:t>
            </w:r>
            <w:r w:rsidRPr="000D57BF">
              <w:rPr>
                <w:rFonts w:ascii="Helvetica" w:eastAsia="Times New Roman" w:hAnsi="Helvetica" w:cs="Helvetica"/>
                <w:color w:val="444444"/>
                <w:sz w:val="21"/>
                <w:szCs w:val="21"/>
                <w:lang w:eastAsia="es-MX"/>
              </w:rPr>
              <w:t xml:space="preserve">, presenta </w:t>
            </w:r>
            <w:r w:rsidR="005B0D11">
              <w:rPr>
                <w:rFonts w:ascii="Helvetica" w:eastAsia="Times New Roman" w:hAnsi="Helvetica" w:cs="Helvetica"/>
                <w:color w:val="444444"/>
                <w:sz w:val="21"/>
                <w:szCs w:val="21"/>
                <w:lang w:eastAsia="es-MX"/>
              </w:rPr>
              <w:t>I</w:t>
            </w:r>
            <w:r w:rsidRPr="000D57BF">
              <w:rPr>
                <w:rFonts w:ascii="Helvetica" w:eastAsia="Times New Roman" w:hAnsi="Helvetica" w:cs="Helvetica"/>
                <w:color w:val="444444"/>
                <w:sz w:val="21"/>
                <w:szCs w:val="21"/>
                <w:lang w:eastAsia="es-MX"/>
              </w:rPr>
              <w:t xml:space="preserve">nformación </w:t>
            </w:r>
            <w:r w:rsidR="005B0D11">
              <w:rPr>
                <w:rFonts w:ascii="Helvetica" w:eastAsia="Times New Roman" w:hAnsi="Helvetica" w:cs="Helvetica"/>
                <w:color w:val="444444"/>
                <w:sz w:val="21"/>
                <w:szCs w:val="21"/>
                <w:lang w:eastAsia="es-MX"/>
              </w:rPr>
              <w:t>C</w:t>
            </w:r>
            <w:r w:rsidRPr="000D57BF">
              <w:rPr>
                <w:rFonts w:ascii="Helvetica" w:eastAsia="Times New Roman" w:hAnsi="Helvetica" w:cs="Helvetica"/>
                <w:color w:val="444444"/>
                <w:sz w:val="21"/>
                <w:szCs w:val="21"/>
                <w:lang w:eastAsia="es-MX"/>
              </w:rPr>
              <w:t xml:space="preserve">ontable y </w:t>
            </w:r>
            <w:r w:rsidR="005B0D11">
              <w:rPr>
                <w:rFonts w:ascii="Helvetica" w:eastAsia="Times New Roman" w:hAnsi="Helvetica" w:cs="Helvetica"/>
                <w:color w:val="444444"/>
                <w:sz w:val="21"/>
                <w:szCs w:val="21"/>
                <w:lang w:eastAsia="es-MX"/>
              </w:rPr>
              <w:t>P</w:t>
            </w:r>
            <w:r w:rsidRPr="000D57BF">
              <w:rPr>
                <w:rFonts w:ascii="Helvetica" w:eastAsia="Times New Roman" w:hAnsi="Helvetica" w:cs="Helvetica"/>
                <w:color w:val="444444"/>
                <w:sz w:val="21"/>
                <w:szCs w:val="21"/>
                <w:lang w:eastAsia="es-MX"/>
              </w:rPr>
              <w:t xml:space="preserve">resupuestaria </w:t>
            </w:r>
            <w:r w:rsidR="005B0D11">
              <w:rPr>
                <w:rFonts w:ascii="Helvetica" w:eastAsia="Times New Roman" w:hAnsi="Helvetica" w:cs="Helvetica"/>
                <w:color w:val="444444"/>
                <w:sz w:val="21"/>
                <w:szCs w:val="21"/>
                <w:lang w:eastAsia="es-MX"/>
              </w:rPr>
              <w:t>C</w:t>
            </w:r>
            <w:r w:rsidRPr="000D57BF">
              <w:rPr>
                <w:rFonts w:ascii="Helvetica" w:eastAsia="Times New Roman" w:hAnsi="Helvetica" w:cs="Helvetica"/>
                <w:color w:val="444444"/>
                <w:sz w:val="21"/>
                <w:szCs w:val="21"/>
                <w:lang w:eastAsia="es-MX"/>
              </w:rPr>
              <w:t xml:space="preserve">onsolidada del </w:t>
            </w:r>
            <w:r w:rsidR="004A3148">
              <w:rPr>
                <w:rFonts w:ascii="Helvetica" w:eastAsia="Times New Roman" w:hAnsi="Helvetica" w:cs="Helvetica"/>
                <w:color w:val="444444"/>
                <w:sz w:val="21"/>
                <w:szCs w:val="21"/>
                <w:lang w:eastAsia="es-MX"/>
              </w:rPr>
              <w:t xml:space="preserve">Poder Ejecutivo, </w:t>
            </w:r>
            <w:r w:rsidRPr="000D57BF">
              <w:rPr>
                <w:rFonts w:ascii="Helvetica" w:eastAsia="Times New Roman" w:hAnsi="Helvetica" w:cs="Helvetica"/>
                <w:color w:val="444444"/>
                <w:sz w:val="21"/>
                <w:szCs w:val="21"/>
                <w:lang w:eastAsia="es-MX"/>
              </w:rPr>
              <w:t>Poder Legislativo, el Poder Judicial</w:t>
            </w:r>
            <w:r w:rsidR="004A3148">
              <w:rPr>
                <w:rFonts w:ascii="Helvetica" w:eastAsia="Times New Roman" w:hAnsi="Helvetica" w:cs="Helvetica"/>
                <w:color w:val="444444"/>
                <w:sz w:val="21"/>
                <w:szCs w:val="21"/>
                <w:lang w:eastAsia="es-MX"/>
              </w:rPr>
              <w:t xml:space="preserve"> y </w:t>
            </w:r>
            <w:r w:rsidRPr="000D57BF">
              <w:rPr>
                <w:rFonts w:ascii="Helvetica" w:eastAsia="Times New Roman" w:hAnsi="Helvetica" w:cs="Helvetica"/>
                <w:color w:val="444444"/>
                <w:sz w:val="21"/>
                <w:szCs w:val="21"/>
                <w:lang w:eastAsia="es-MX"/>
              </w:rPr>
              <w:t>los Órganos Autónomos</w:t>
            </w:r>
            <w:r w:rsidR="004A3148">
              <w:rPr>
                <w:rFonts w:ascii="Helvetica" w:eastAsia="Times New Roman" w:hAnsi="Helvetica" w:cs="Helvetica"/>
                <w:color w:val="444444"/>
                <w:sz w:val="21"/>
                <w:szCs w:val="21"/>
                <w:lang w:eastAsia="es-MX"/>
              </w:rPr>
              <w:t xml:space="preserve"> del Estado de Baja California Sur.</w:t>
            </w:r>
          </w:p>
          <w:p w:rsidR="000D57BF" w:rsidRPr="000D57BF" w:rsidRDefault="000D57BF" w:rsidP="005B0D11">
            <w:pPr>
              <w:spacing w:after="150" w:line="336" w:lineRule="atLeast"/>
              <w:jc w:val="both"/>
              <w:rPr>
                <w:rFonts w:ascii="Helvetica" w:eastAsia="Times New Roman" w:hAnsi="Helvetica" w:cs="Helvetica"/>
                <w:color w:val="444444"/>
                <w:sz w:val="21"/>
                <w:szCs w:val="21"/>
                <w:lang w:eastAsia="es-MX"/>
              </w:rPr>
            </w:pPr>
            <w:r w:rsidRPr="000D57BF">
              <w:rPr>
                <w:rFonts w:ascii="Helvetica" w:eastAsia="Times New Roman" w:hAnsi="Helvetica" w:cs="Helvetica"/>
                <w:color w:val="444444"/>
                <w:sz w:val="21"/>
                <w:szCs w:val="21"/>
                <w:lang w:eastAsia="es-MX"/>
              </w:rPr>
              <w:t>El </w:t>
            </w:r>
            <w:r w:rsidRPr="000D57BF">
              <w:rPr>
                <w:rFonts w:ascii="Helvetica" w:eastAsia="Times New Roman" w:hAnsi="Helvetica" w:cs="Helvetica"/>
                <w:b/>
                <w:bCs/>
                <w:color w:val="444444"/>
                <w:sz w:val="21"/>
                <w:szCs w:val="21"/>
                <w:lang w:eastAsia="es-MX"/>
              </w:rPr>
              <w:t>Tomo III</w:t>
            </w:r>
            <w:r w:rsidRPr="000D57BF">
              <w:rPr>
                <w:rFonts w:ascii="Helvetica" w:eastAsia="Times New Roman" w:hAnsi="Helvetica" w:cs="Helvetica"/>
                <w:color w:val="444444"/>
                <w:sz w:val="21"/>
                <w:szCs w:val="21"/>
                <w:lang w:eastAsia="es-MX"/>
              </w:rPr>
              <w:t> </w:t>
            </w:r>
            <w:r w:rsidRPr="000D57BF">
              <w:rPr>
                <w:rFonts w:ascii="Helvetica" w:eastAsia="Times New Roman" w:hAnsi="Helvetica" w:cs="Helvetica"/>
                <w:b/>
                <w:bCs/>
                <w:color w:val="444444"/>
                <w:sz w:val="21"/>
                <w:szCs w:val="21"/>
                <w:lang w:eastAsia="es-MX"/>
              </w:rPr>
              <w:t>Poder Ejecutivo</w:t>
            </w:r>
            <w:r w:rsidRPr="000D57BF">
              <w:rPr>
                <w:rFonts w:ascii="Helvetica" w:eastAsia="Times New Roman" w:hAnsi="Helvetica" w:cs="Helvetica"/>
                <w:color w:val="444444"/>
                <w:sz w:val="21"/>
                <w:szCs w:val="21"/>
                <w:lang w:eastAsia="es-MX"/>
              </w:rPr>
              <w:t xml:space="preserve">, presenta la </w:t>
            </w:r>
            <w:r w:rsidR="005B0D11">
              <w:rPr>
                <w:rFonts w:ascii="Helvetica" w:eastAsia="Times New Roman" w:hAnsi="Helvetica" w:cs="Helvetica"/>
                <w:color w:val="444444"/>
                <w:sz w:val="21"/>
                <w:szCs w:val="21"/>
                <w:lang w:eastAsia="es-MX"/>
              </w:rPr>
              <w:t>I</w:t>
            </w:r>
            <w:r w:rsidRPr="000D57BF">
              <w:rPr>
                <w:rFonts w:ascii="Helvetica" w:eastAsia="Times New Roman" w:hAnsi="Helvetica" w:cs="Helvetica"/>
                <w:color w:val="444444"/>
                <w:sz w:val="21"/>
                <w:szCs w:val="21"/>
                <w:lang w:eastAsia="es-MX"/>
              </w:rPr>
              <w:t xml:space="preserve">nformación </w:t>
            </w:r>
            <w:r w:rsidR="005B0D11">
              <w:rPr>
                <w:rFonts w:ascii="Helvetica" w:eastAsia="Times New Roman" w:hAnsi="Helvetica" w:cs="Helvetica"/>
                <w:color w:val="444444"/>
                <w:sz w:val="21"/>
                <w:szCs w:val="21"/>
                <w:lang w:eastAsia="es-MX"/>
              </w:rPr>
              <w:t>C</w:t>
            </w:r>
            <w:r w:rsidRPr="000D57BF">
              <w:rPr>
                <w:rFonts w:ascii="Helvetica" w:eastAsia="Times New Roman" w:hAnsi="Helvetica" w:cs="Helvetica"/>
                <w:color w:val="444444"/>
                <w:sz w:val="21"/>
                <w:szCs w:val="21"/>
                <w:lang w:eastAsia="es-MX"/>
              </w:rPr>
              <w:t xml:space="preserve">ontable del Poder Ejecutivo, así como la </w:t>
            </w:r>
            <w:r w:rsidR="004A3148">
              <w:rPr>
                <w:rFonts w:ascii="Helvetica" w:eastAsia="Times New Roman" w:hAnsi="Helvetica" w:cs="Helvetica"/>
                <w:color w:val="444444"/>
                <w:sz w:val="21"/>
                <w:szCs w:val="21"/>
                <w:lang w:eastAsia="es-MX"/>
              </w:rPr>
              <w:t>I</w:t>
            </w:r>
            <w:r w:rsidRPr="000D57BF">
              <w:rPr>
                <w:rFonts w:ascii="Helvetica" w:eastAsia="Times New Roman" w:hAnsi="Helvetica" w:cs="Helvetica"/>
                <w:color w:val="444444"/>
                <w:sz w:val="21"/>
                <w:szCs w:val="21"/>
                <w:lang w:eastAsia="es-MX"/>
              </w:rPr>
              <w:t xml:space="preserve">nformación </w:t>
            </w:r>
            <w:r w:rsidR="004A3148">
              <w:rPr>
                <w:rFonts w:ascii="Helvetica" w:eastAsia="Times New Roman" w:hAnsi="Helvetica" w:cs="Helvetica"/>
                <w:color w:val="444444"/>
                <w:sz w:val="21"/>
                <w:szCs w:val="21"/>
                <w:lang w:eastAsia="es-MX"/>
              </w:rPr>
              <w:t>P</w:t>
            </w:r>
            <w:r w:rsidRPr="000D57BF">
              <w:rPr>
                <w:rFonts w:ascii="Helvetica" w:eastAsia="Times New Roman" w:hAnsi="Helvetica" w:cs="Helvetica"/>
                <w:color w:val="444444"/>
                <w:sz w:val="21"/>
                <w:szCs w:val="21"/>
                <w:lang w:eastAsia="es-MX"/>
              </w:rPr>
              <w:t>resupuestaria</w:t>
            </w:r>
            <w:r w:rsidR="004A3148">
              <w:rPr>
                <w:rFonts w:ascii="Helvetica" w:eastAsia="Times New Roman" w:hAnsi="Helvetica" w:cs="Helvetica"/>
                <w:color w:val="444444"/>
                <w:sz w:val="21"/>
                <w:szCs w:val="21"/>
                <w:lang w:eastAsia="es-MX"/>
              </w:rPr>
              <w:t>, la Información</w:t>
            </w:r>
            <w:r w:rsidRPr="000D57BF">
              <w:rPr>
                <w:rFonts w:ascii="Helvetica" w:eastAsia="Times New Roman" w:hAnsi="Helvetica" w:cs="Helvetica"/>
                <w:color w:val="444444"/>
                <w:sz w:val="21"/>
                <w:szCs w:val="21"/>
                <w:lang w:eastAsia="es-MX"/>
              </w:rPr>
              <w:t xml:space="preserve"> </w:t>
            </w:r>
            <w:r w:rsidR="004A3148">
              <w:rPr>
                <w:rFonts w:ascii="Helvetica" w:eastAsia="Times New Roman" w:hAnsi="Helvetica" w:cs="Helvetica"/>
                <w:color w:val="444444"/>
                <w:sz w:val="21"/>
                <w:szCs w:val="21"/>
                <w:lang w:eastAsia="es-MX"/>
              </w:rPr>
              <w:t>P</w:t>
            </w:r>
            <w:r w:rsidRPr="000D57BF">
              <w:rPr>
                <w:rFonts w:ascii="Helvetica" w:eastAsia="Times New Roman" w:hAnsi="Helvetica" w:cs="Helvetica"/>
                <w:color w:val="444444"/>
                <w:sz w:val="21"/>
                <w:szCs w:val="21"/>
                <w:lang w:eastAsia="es-MX"/>
              </w:rPr>
              <w:t>rogramática y Anexos.</w:t>
            </w:r>
          </w:p>
        </w:tc>
      </w:tr>
      <w:tr w:rsidR="000D57BF" w:rsidRPr="000D57BF" w:rsidTr="004A3148">
        <w:tc>
          <w:tcPr>
            <w:tcW w:w="300" w:type="pct"/>
            <w:shd w:val="clear" w:color="auto" w:fill="FAFAFA"/>
            <w:tcMar>
              <w:top w:w="0" w:type="dxa"/>
              <w:left w:w="0" w:type="dxa"/>
              <w:bottom w:w="0" w:type="dxa"/>
              <w:right w:w="0" w:type="dxa"/>
            </w:tcMar>
            <w:vAlign w:val="center"/>
            <w:hideMark/>
          </w:tcPr>
          <w:p w:rsidR="000D57BF" w:rsidRPr="000D57BF" w:rsidRDefault="000D57BF" w:rsidP="000D57BF">
            <w:pPr>
              <w:spacing w:after="0" w:line="336" w:lineRule="atLeast"/>
              <w:jc w:val="both"/>
              <w:rPr>
                <w:rFonts w:ascii="Helvetica" w:eastAsia="Times New Roman" w:hAnsi="Helvetica" w:cs="Helvetica"/>
                <w:color w:val="444444"/>
                <w:sz w:val="21"/>
                <w:szCs w:val="21"/>
                <w:lang w:eastAsia="es-MX"/>
              </w:rPr>
            </w:pPr>
          </w:p>
        </w:tc>
        <w:tc>
          <w:tcPr>
            <w:tcW w:w="0" w:type="auto"/>
            <w:shd w:val="clear" w:color="auto" w:fill="FAFAFA"/>
            <w:tcMar>
              <w:top w:w="0" w:type="dxa"/>
              <w:left w:w="0" w:type="dxa"/>
              <w:bottom w:w="0" w:type="dxa"/>
              <w:right w:w="0" w:type="dxa"/>
            </w:tcMar>
            <w:vAlign w:val="center"/>
            <w:hideMark/>
          </w:tcPr>
          <w:p w:rsidR="000D57BF" w:rsidRPr="000D57BF" w:rsidRDefault="000D57BF" w:rsidP="000D57BF">
            <w:pPr>
              <w:spacing w:after="0" w:line="336" w:lineRule="atLeast"/>
              <w:jc w:val="both"/>
              <w:rPr>
                <w:rFonts w:ascii="Helvetica" w:eastAsia="Times New Roman" w:hAnsi="Helvetica" w:cs="Helvetica"/>
                <w:color w:val="444444"/>
                <w:sz w:val="21"/>
                <w:szCs w:val="21"/>
                <w:lang w:eastAsia="es-MX"/>
              </w:rPr>
            </w:pPr>
          </w:p>
        </w:tc>
      </w:tr>
      <w:tr w:rsidR="000D57BF" w:rsidRPr="000D57BF" w:rsidTr="004A3148">
        <w:tc>
          <w:tcPr>
            <w:tcW w:w="0" w:type="auto"/>
            <w:gridSpan w:val="2"/>
            <w:shd w:val="clear" w:color="auto" w:fill="FAFAFA"/>
            <w:tcMar>
              <w:top w:w="0" w:type="dxa"/>
              <w:left w:w="0" w:type="dxa"/>
              <w:bottom w:w="0" w:type="dxa"/>
              <w:right w:w="0" w:type="dxa"/>
            </w:tcMar>
            <w:vAlign w:val="center"/>
            <w:hideMark/>
          </w:tcPr>
          <w:p w:rsidR="000D57BF" w:rsidRPr="000D57BF" w:rsidRDefault="000D57BF" w:rsidP="000D57BF">
            <w:pPr>
              <w:spacing w:after="150" w:line="336" w:lineRule="atLeast"/>
              <w:jc w:val="both"/>
              <w:rPr>
                <w:rFonts w:ascii="Helvetica" w:eastAsia="Times New Roman" w:hAnsi="Helvetica" w:cs="Helvetica"/>
                <w:color w:val="444444"/>
                <w:sz w:val="21"/>
                <w:szCs w:val="21"/>
                <w:lang w:eastAsia="es-MX"/>
              </w:rPr>
            </w:pPr>
            <w:r w:rsidRPr="000D57BF">
              <w:rPr>
                <w:rFonts w:ascii="Helvetica" w:eastAsia="Times New Roman" w:hAnsi="Helvetica" w:cs="Helvetica"/>
                <w:color w:val="444444"/>
                <w:sz w:val="21"/>
                <w:szCs w:val="21"/>
                <w:lang w:eastAsia="es-MX"/>
              </w:rPr>
              <w:t>En el </w:t>
            </w:r>
            <w:r w:rsidRPr="000D57BF">
              <w:rPr>
                <w:rFonts w:ascii="Helvetica" w:eastAsia="Times New Roman" w:hAnsi="Helvetica" w:cs="Helvetica"/>
                <w:b/>
                <w:bCs/>
                <w:color w:val="444444"/>
                <w:sz w:val="21"/>
                <w:szCs w:val="21"/>
                <w:lang w:eastAsia="es-MX"/>
              </w:rPr>
              <w:t>Tomo IV</w:t>
            </w:r>
            <w:r w:rsidRPr="000D57BF">
              <w:rPr>
                <w:rFonts w:ascii="Helvetica" w:eastAsia="Times New Roman" w:hAnsi="Helvetica" w:cs="Helvetica"/>
                <w:color w:val="444444"/>
                <w:sz w:val="21"/>
                <w:szCs w:val="21"/>
                <w:lang w:eastAsia="es-MX"/>
              </w:rPr>
              <w:t> </w:t>
            </w:r>
            <w:r w:rsidRPr="000D57BF">
              <w:rPr>
                <w:rFonts w:ascii="Helvetica" w:eastAsia="Times New Roman" w:hAnsi="Helvetica" w:cs="Helvetica"/>
                <w:b/>
                <w:bCs/>
                <w:color w:val="444444"/>
                <w:sz w:val="21"/>
                <w:szCs w:val="21"/>
                <w:lang w:eastAsia="es-MX"/>
              </w:rPr>
              <w:t>Poder Legislativo</w:t>
            </w:r>
            <w:r w:rsidRPr="000D57BF">
              <w:rPr>
                <w:rFonts w:ascii="Helvetica" w:eastAsia="Times New Roman" w:hAnsi="Helvetica" w:cs="Helvetica"/>
                <w:color w:val="444444"/>
                <w:sz w:val="21"/>
                <w:szCs w:val="21"/>
                <w:lang w:eastAsia="es-MX"/>
              </w:rPr>
              <w:t xml:space="preserve">, se reporta </w:t>
            </w:r>
            <w:r w:rsidR="004A3148">
              <w:rPr>
                <w:rFonts w:ascii="Helvetica" w:eastAsia="Times New Roman" w:hAnsi="Helvetica" w:cs="Helvetica"/>
                <w:color w:val="444444"/>
                <w:sz w:val="21"/>
                <w:szCs w:val="21"/>
                <w:lang w:eastAsia="es-MX"/>
              </w:rPr>
              <w:t>I</w:t>
            </w:r>
            <w:r w:rsidRPr="000D57BF">
              <w:rPr>
                <w:rFonts w:ascii="Helvetica" w:eastAsia="Times New Roman" w:hAnsi="Helvetica" w:cs="Helvetica"/>
                <w:color w:val="444444"/>
                <w:sz w:val="21"/>
                <w:szCs w:val="21"/>
                <w:lang w:eastAsia="es-MX"/>
              </w:rPr>
              <w:t xml:space="preserve">nformación </w:t>
            </w:r>
            <w:r w:rsidR="004A3148">
              <w:rPr>
                <w:rFonts w:ascii="Helvetica" w:eastAsia="Times New Roman" w:hAnsi="Helvetica" w:cs="Helvetica"/>
                <w:color w:val="444444"/>
                <w:sz w:val="21"/>
                <w:szCs w:val="21"/>
                <w:lang w:eastAsia="es-MX"/>
              </w:rPr>
              <w:t>C</w:t>
            </w:r>
            <w:r w:rsidRPr="000D57BF">
              <w:rPr>
                <w:rFonts w:ascii="Helvetica" w:eastAsia="Times New Roman" w:hAnsi="Helvetica" w:cs="Helvetica"/>
                <w:color w:val="444444"/>
                <w:sz w:val="21"/>
                <w:szCs w:val="21"/>
                <w:lang w:eastAsia="es-MX"/>
              </w:rPr>
              <w:t xml:space="preserve">ontable, </w:t>
            </w:r>
            <w:r w:rsidR="004A3148">
              <w:rPr>
                <w:rFonts w:ascii="Helvetica" w:eastAsia="Times New Roman" w:hAnsi="Helvetica" w:cs="Helvetica"/>
                <w:color w:val="444444"/>
                <w:sz w:val="21"/>
                <w:szCs w:val="21"/>
                <w:lang w:eastAsia="es-MX"/>
              </w:rPr>
              <w:t>P</w:t>
            </w:r>
            <w:r w:rsidRPr="000D57BF">
              <w:rPr>
                <w:rFonts w:ascii="Helvetica" w:eastAsia="Times New Roman" w:hAnsi="Helvetica" w:cs="Helvetica"/>
                <w:color w:val="444444"/>
                <w:sz w:val="21"/>
                <w:szCs w:val="21"/>
                <w:lang w:eastAsia="es-MX"/>
              </w:rPr>
              <w:t xml:space="preserve">resupuestaria y </w:t>
            </w:r>
            <w:r w:rsidR="004A3148">
              <w:rPr>
                <w:rFonts w:ascii="Helvetica" w:eastAsia="Times New Roman" w:hAnsi="Helvetica" w:cs="Helvetica"/>
                <w:color w:val="444444"/>
                <w:sz w:val="21"/>
                <w:szCs w:val="21"/>
                <w:lang w:eastAsia="es-MX"/>
              </w:rPr>
              <w:t>P</w:t>
            </w:r>
            <w:r w:rsidRPr="000D57BF">
              <w:rPr>
                <w:rFonts w:ascii="Helvetica" w:eastAsia="Times New Roman" w:hAnsi="Helvetica" w:cs="Helvetica"/>
                <w:color w:val="444444"/>
                <w:sz w:val="21"/>
                <w:szCs w:val="21"/>
                <w:lang w:eastAsia="es-MX"/>
              </w:rPr>
              <w:t xml:space="preserve">rogramática de la </w:t>
            </w:r>
            <w:r w:rsidR="004A3148" w:rsidRPr="000D57BF">
              <w:rPr>
                <w:rFonts w:ascii="Helvetica" w:eastAsia="Times New Roman" w:hAnsi="Helvetica" w:cs="Helvetica"/>
                <w:color w:val="444444"/>
                <w:sz w:val="21"/>
                <w:szCs w:val="21"/>
                <w:lang w:eastAsia="es-MX"/>
              </w:rPr>
              <w:t>Cámara</w:t>
            </w:r>
            <w:r w:rsidRPr="000D57BF">
              <w:rPr>
                <w:rFonts w:ascii="Helvetica" w:eastAsia="Times New Roman" w:hAnsi="Helvetica" w:cs="Helvetica"/>
                <w:color w:val="444444"/>
                <w:sz w:val="21"/>
                <w:szCs w:val="21"/>
                <w:lang w:eastAsia="es-MX"/>
              </w:rPr>
              <w:t xml:space="preserve"> de Diputados el Con</w:t>
            </w:r>
            <w:r w:rsidR="004A3148">
              <w:rPr>
                <w:rFonts w:ascii="Helvetica" w:eastAsia="Times New Roman" w:hAnsi="Helvetica" w:cs="Helvetica"/>
                <w:color w:val="444444"/>
                <w:sz w:val="21"/>
                <w:szCs w:val="21"/>
                <w:lang w:eastAsia="es-MX"/>
              </w:rPr>
              <w:t>g</w:t>
            </w:r>
            <w:r w:rsidRPr="000D57BF">
              <w:rPr>
                <w:rFonts w:ascii="Helvetica" w:eastAsia="Times New Roman" w:hAnsi="Helvetica" w:cs="Helvetica"/>
                <w:color w:val="444444"/>
                <w:sz w:val="21"/>
                <w:szCs w:val="21"/>
                <w:lang w:eastAsia="es-MX"/>
              </w:rPr>
              <w:t>reso del Estado de Baja California Sur.</w:t>
            </w:r>
          </w:p>
          <w:p w:rsidR="000D57BF" w:rsidRPr="000D57BF" w:rsidRDefault="000D57BF" w:rsidP="000D57BF">
            <w:pPr>
              <w:spacing w:after="150" w:line="336" w:lineRule="atLeast"/>
              <w:jc w:val="both"/>
              <w:rPr>
                <w:rFonts w:ascii="Helvetica" w:eastAsia="Times New Roman" w:hAnsi="Helvetica" w:cs="Helvetica"/>
                <w:color w:val="444444"/>
                <w:sz w:val="21"/>
                <w:szCs w:val="21"/>
                <w:lang w:eastAsia="es-MX"/>
              </w:rPr>
            </w:pPr>
            <w:r w:rsidRPr="000D57BF">
              <w:rPr>
                <w:rFonts w:ascii="Helvetica" w:eastAsia="Times New Roman" w:hAnsi="Helvetica" w:cs="Helvetica"/>
                <w:color w:val="444444"/>
                <w:sz w:val="21"/>
                <w:szCs w:val="21"/>
                <w:lang w:eastAsia="es-MX"/>
              </w:rPr>
              <w:t>El </w:t>
            </w:r>
            <w:r w:rsidRPr="000D57BF">
              <w:rPr>
                <w:rFonts w:ascii="Helvetica" w:eastAsia="Times New Roman" w:hAnsi="Helvetica" w:cs="Helvetica"/>
                <w:b/>
                <w:bCs/>
                <w:color w:val="444444"/>
                <w:sz w:val="21"/>
                <w:szCs w:val="21"/>
                <w:lang w:eastAsia="es-MX"/>
              </w:rPr>
              <w:t>Tomo V</w:t>
            </w:r>
            <w:r w:rsidRPr="000D57BF">
              <w:rPr>
                <w:rFonts w:ascii="Helvetica" w:eastAsia="Times New Roman" w:hAnsi="Helvetica" w:cs="Helvetica"/>
                <w:color w:val="444444"/>
                <w:sz w:val="21"/>
                <w:szCs w:val="21"/>
                <w:lang w:eastAsia="es-MX"/>
              </w:rPr>
              <w:t> </w:t>
            </w:r>
            <w:r w:rsidRPr="000D57BF">
              <w:rPr>
                <w:rFonts w:ascii="Helvetica" w:eastAsia="Times New Roman" w:hAnsi="Helvetica" w:cs="Helvetica"/>
                <w:b/>
                <w:bCs/>
                <w:color w:val="444444"/>
                <w:sz w:val="21"/>
                <w:szCs w:val="21"/>
                <w:lang w:eastAsia="es-MX"/>
              </w:rPr>
              <w:t>Poder Judicial</w:t>
            </w:r>
            <w:r w:rsidRPr="000D57BF">
              <w:rPr>
                <w:rFonts w:ascii="Helvetica" w:eastAsia="Times New Roman" w:hAnsi="Helvetica" w:cs="Helvetica"/>
                <w:color w:val="444444"/>
                <w:sz w:val="21"/>
                <w:szCs w:val="21"/>
                <w:lang w:eastAsia="es-MX"/>
              </w:rPr>
              <w:t xml:space="preserve">, contiene </w:t>
            </w:r>
            <w:r w:rsidR="004A3148">
              <w:rPr>
                <w:rFonts w:ascii="Helvetica" w:eastAsia="Times New Roman" w:hAnsi="Helvetica" w:cs="Helvetica"/>
                <w:color w:val="444444"/>
                <w:sz w:val="21"/>
                <w:szCs w:val="21"/>
                <w:lang w:eastAsia="es-MX"/>
              </w:rPr>
              <w:t>I</w:t>
            </w:r>
            <w:r w:rsidRPr="000D57BF">
              <w:rPr>
                <w:rFonts w:ascii="Helvetica" w:eastAsia="Times New Roman" w:hAnsi="Helvetica" w:cs="Helvetica"/>
                <w:color w:val="444444"/>
                <w:sz w:val="21"/>
                <w:szCs w:val="21"/>
                <w:lang w:eastAsia="es-MX"/>
              </w:rPr>
              <w:t xml:space="preserve">nformación </w:t>
            </w:r>
            <w:r w:rsidR="004A3148">
              <w:rPr>
                <w:rFonts w:ascii="Helvetica" w:eastAsia="Times New Roman" w:hAnsi="Helvetica" w:cs="Helvetica"/>
                <w:color w:val="444444"/>
                <w:sz w:val="21"/>
                <w:szCs w:val="21"/>
                <w:lang w:eastAsia="es-MX"/>
              </w:rPr>
              <w:t>C</w:t>
            </w:r>
            <w:r w:rsidRPr="000D57BF">
              <w:rPr>
                <w:rFonts w:ascii="Helvetica" w:eastAsia="Times New Roman" w:hAnsi="Helvetica" w:cs="Helvetica"/>
                <w:color w:val="444444"/>
                <w:sz w:val="21"/>
                <w:szCs w:val="21"/>
                <w:lang w:eastAsia="es-MX"/>
              </w:rPr>
              <w:t xml:space="preserve">ontable, </w:t>
            </w:r>
            <w:r w:rsidR="004A3148">
              <w:rPr>
                <w:rFonts w:ascii="Helvetica" w:eastAsia="Times New Roman" w:hAnsi="Helvetica" w:cs="Helvetica"/>
                <w:color w:val="444444"/>
                <w:sz w:val="21"/>
                <w:szCs w:val="21"/>
                <w:lang w:eastAsia="es-MX"/>
              </w:rPr>
              <w:t>P</w:t>
            </w:r>
            <w:r w:rsidRPr="000D57BF">
              <w:rPr>
                <w:rFonts w:ascii="Helvetica" w:eastAsia="Times New Roman" w:hAnsi="Helvetica" w:cs="Helvetica"/>
                <w:color w:val="444444"/>
                <w:sz w:val="21"/>
                <w:szCs w:val="21"/>
                <w:lang w:eastAsia="es-MX"/>
              </w:rPr>
              <w:t xml:space="preserve">resupuestaria y </w:t>
            </w:r>
            <w:r w:rsidR="004A3148">
              <w:rPr>
                <w:rFonts w:ascii="Helvetica" w:eastAsia="Times New Roman" w:hAnsi="Helvetica" w:cs="Helvetica"/>
                <w:color w:val="444444"/>
                <w:sz w:val="21"/>
                <w:szCs w:val="21"/>
                <w:lang w:eastAsia="es-MX"/>
              </w:rPr>
              <w:t>P</w:t>
            </w:r>
            <w:r w:rsidRPr="000D57BF">
              <w:rPr>
                <w:rFonts w:ascii="Helvetica" w:eastAsia="Times New Roman" w:hAnsi="Helvetica" w:cs="Helvetica"/>
                <w:color w:val="444444"/>
                <w:sz w:val="21"/>
                <w:szCs w:val="21"/>
                <w:lang w:eastAsia="es-MX"/>
              </w:rPr>
              <w:t xml:space="preserve">rogramática del </w:t>
            </w:r>
            <w:r w:rsidRPr="000D57BF">
              <w:rPr>
                <w:rFonts w:ascii="Helvetica" w:eastAsia="Times New Roman" w:hAnsi="Helvetica" w:cs="Helvetica"/>
                <w:color w:val="444444"/>
                <w:sz w:val="21"/>
                <w:szCs w:val="21"/>
                <w:lang w:eastAsia="es-MX"/>
              </w:rPr>
              <w:lastRenderedPageBreak/>
              <w:t>Tribunal Superior de Justicia del Estado de Baja California Sur.</w:t>
            </w:r>
          </w:p>
          <w:p w:rsidR="000D57BF" w:rsidRPr="000D57BF" w:rsidRDefault="000D57BF" w:rsidP="000D57BF">
            <w:pPr>
              <w:spacing w:after="150" w:line="336" w:lineRule="atLeast"/>
              <w:jc w:val="both"/>
              <w:rPr>
                <w:rFonts w:ascii="Helvetica" w:eastAsia="Times New Roman" w:hAnsi="Helvetica" w:cs="Helvetica"/>
                <w:color w:val="444444"/>
                <w:sz w:val="21"/>
                <w:szCs w:val="21"/>
                <w:lang w:eastAsia="es-MX"/>
              </w:rPr>
            </w:pPr>
            <w:r w:rsidRPr="000D57BF">
              <w:rPr>
                <w:rFonts w:ascii="Helvetica" w:eastAsia="Times New Roman" w:hAnsi="Helvetica" w:cs="Helvetica"/>
                <w:color w:val="444444"/>
                <w:sz w:val="21"/>
                <w:szCs w:val="21"/>
                <w:lang w:eastAsia="es-MX"/>
              </w:rPr>
              <w:t>En el </w:t>
            </w:r>
            <w:r w:rsidRPr="000D57BF">
              <w:rPr>
                <w:rFonts w:ascii="Helvetica" w:eastAsia="Times New Roman" w:hAnsi="Helvetica" w:cs="Helvetica"/>
                <w:b/>
                <w:bCs/>
                <w:color w:val="444444"/>
                <w:sz w:val="21"/>
                <w:szCs w:val="21"/>
                <w:lang w:eastAsia="es-MX"/>
              </w:rPr>
              <w:t>Tomo VI</w:t>
            </w:r>
            <w:r w:rsidRPr="000D57BF">
              <w:rPr>
                <w:rFonts w:ascii="Helvetica" w:eastAsia="Times New Roman" w:hAnsi="Helvetica" w:cs="Helvetica"/>
                <w:color w:val="444444"/>
                <w:sz w:val="21"/>
                <w:szCs w:val="21"/>
                <w:lang w:eastAsia="es-MX"/>
              </w:rPr>
              <w:t> </w:t>
            </w:r>
            <w:r w:rsidRPr="000D57BF">
              <w:rPr>
                <w:rFonts w:ascii="Helvetica" w:eastAsia="Times New Roman" w:hAnsi="Helvetica" w:cs="Helvetica"/>
                <w:b/>
                <w:bCs/>
                <w:color w:val="444444"/>
                <w:sz w:val="21"/>
                <w:szCs w:val="21"/>
                <w:lang w:eastAsia="es-MX"/>
              </w:rPr>
              <w:t>Órganos Autónomos</w:t>
            </w:r>
            <w:r w:rsidRPr="000D57BF">
              <w:rPr>
                <w:rFonts w:ascii="Helvetica" w:eastAsia="Times New Roman" w:hAnsi="Helvetica" w:cs="Helvetica"/>
                <w:color w:val="444444"/>
                <w:sz w:val="21"/>
                <w:szCs w:val="21"/>
                <w:lang w:eastAsia="es-MX"/>
              </w:rPr>
              <w:t xml:space="preserve">, se presenta </w:t>
            </w:r>
            <w:r w:rsidR="004A3148">
              <w:rPr>
                <w:rFonts w:ascii="Helvetica" w:eastAsia="Times New Roman" w:hAnsi="Helvetica" w:cs="Helvetica"/>
                <w:color w:val="444444"/>
                <w:sz w:val="21"/>
                <w:szCs w:val="21"/>
                <w:lang w:eastAsia="es-MX"/>
              </w:rPr>
              <w:t>I</w:t>
            </w:r>
            <w:r w:rsidRPr="000D57BF">
              <w:rPr>
                <w:rFonts w:ascii="Helvetica" w:eastAsia="Times New Roman" w:hAnsi="Helvetica" w:cs="Helvetica"/>
                <w:color w:val="444444"/>
                <w:sz w:val="21"/>
                <w:szCs w:val="21"/>
                <w:lang w:eastAsia="es-MX"/>
              </w:rPr>
              <w:t xml:space="preserve">nformación </w:t>
            </w:r>
            <w:r w:rsidR="004A3148">
              <w:rPr>
                <w:rFonts w:ascii="Helvetica" w:eastAsia="Times New Roman" w:hAnsi="Helvetica" w:cs="Helvetica"/>
                <w:color w:val="444444"/>
                <w:sz w:val="21"/>
                <w:szCs w:val="21"/>
                <w:lang w:eastAsia="es-MX"/>
              </w:rPr>
              <w:t>C</w:t>
            </w:r>
            <w:r w:rsidRPr="000D57BF">
              <w:rPr>
                <w:rFonts w:ascii="Helvetica" w:eastAsia="Times New Roman" w:hAnsi="Helvetica" w:cs="Helvetica"/>
                <w:color w:val="444444"/>
                <w:sz w:val="21"/>
                <w:szCs w:val="21"/>
                <w:lang w:eastAsia="es-MX"/>
              </w:rPr>
              <w:t xml:space="preserve">ontable, </w:t>
            </w:r>
            <w:r w:rsidR="004A3148">
              <w:rPr>
                <w:rFonts w:ascii="Helvetica" w:eastAsia="Times New Roman" w:hAnsi="Helvetica" w:cs="Helvetica"/>
                <w:color w:val="444444"/>
                <w:sz w:val="21"/>
                <w:szCs w:val="21"/>
                <w:lang w:eastAsia="es-MX"/>
              </w:rPr>
              <w:t>P</w:t>
            </w:r>
            <w:r w:rsidRPr="000D57BF">
              <w:rPr>
                <w:rFonts w:ascii="Helvetica" w:eastAsia="Times New Roman" w:hAnsi="Helvetica" w:cs="Helvetica"/>
                <w:color w:val="444444"/>
                <w:sz w:val="21"/>
                <w:szCs w:val="21"/>
                <w:lang w:eastAsia="es-MX"/>
              </w:rPr>
              <w:t xml:space="preserve">resupuestaria y </w:t>
            </w:r>
            <w:r w:rsidR="004A3148">
              <w:rPr>
                <w:rFonts w:ascii="Helvetica" w:eastAsia="Times New Roman" w:hAnsi="Helvetica" w:cs="Helvetica"/>
                <w:color w:val="444444"/>
                <w:sz w:val="21"/>
                <w:szCs w:val="21"/>
                <w:lang w:eastAsia="es-MX"/>
              </w:rPr>
              <w:t>P</w:t>
            </w:r>
            <w:r w:rsidRPr="000D57BF">
              <w:rPr>
                <w:rFonts w:ascii="Helvetica" w:eastAsia="Times New Roman" w:hAnsi="Helvetica" w:cs="Helvetica"/>
                <w:color w:val="444444"/>
                <w:sz w:val="21"/>
                <w:szCs w:val="21"/>
                <w:lang w:eastAsia="es-MX"/>
              </w:rPr>
              <w:t>rogramática de</w:t>
            </w:r>
            <w:r w:rsidR="004A3148">
              <w:rPr>
                <w:rFonts w:ascii="Helvetica" w:eastAsia="Times New Roman" w:hAnsi="Helvetica" w:cs="Helvetica"/>
                <w:color w:val="444444"/>
                <w:sz w:val="21"/>
                <w:szCs w:val="21"/>
                <w:lang w:eastAsia="es-MX"/>
              </w:rPr>
              <w:t xml:space="preserve"> </w:t>
            </w:r>
            <w:r w:rsidRPr="000D57BF">
              <w:rPr>
                <w:rFonts w:ascii="Helvetica" w:eastAsia="Times New Roman" w:hAnsi="Helvetica" w:cs="Helvetica"/>
                <w:color w:val="444444"/>
                <w:sz w:val="21"/>
                <w:szCs w:val="21"/>
                <w:lang w:eastAsia="es-MX"/>
              </w:rPr>
              <w:t>l</w:t>
            </w:r>
            <w:r w:rsidR="004A3148">
              <w:rPr>
                <w:rFonts w:ascii="Helvetica" w:eastAsia="Times New Roman" w:hAnsi="Helvetica" w:cs="Helvetica"/>
                <w:color w:val="444444"/>
                <w:sz w:val="21"/>
                <w:szCs w:val="21"/>
                <w:lang w:eastAsia="es-MX"/>
              </w:rPr>
              <w:t>a</w:t>
            </w:r>
            <w:r w:rsidRPr="000D57BF">
              <w:rPr>
                <w:rFonts w:ascii="Helvetica" w:eastAsia="Times New Roman" w:hAnsi="Helvetica" w:cs="Helvetica"/>
                <w:color w:val="444444"/>
                <w:sz w:val="21"/>
                <w:szCs w:val="21"/>
                <w:lang w:eastAsia="es-MX"/>
              </w:rPr>
              <w:t xml:space="preserve"> </w:t>
            </w:r>
            <w:r w:rsidR="004A3148" w:rsidRPr="000D57BF">
              <w:rPr>
                <w:rFonts w:ascii="Helvetica" w:eastAsia="Times New Roman" w:hAnsi="Helvetica" w:cs="Helvetica"/>
                <w:color w:val="444444"/>
                <w:sz w:val="21"/>
                <w:szCs w:val="21"/>
                <w:lang w:eastAsia="es-MX"/>
              </w:rPr>
              <w:t>Comisión Estatal de Derechos Humanos (</w:t>
            </w:r>
            <w:proofErr w:type="spellStart"/>
            <w:r w:rsidR="004A3148" w:rsidRPr="000D57BF">
              <w:rPr>
                <w:rFonts w:ascii="Helvetica" w:eastAsia="Times New Roman" w:hAnsi="Helvetica" w:cs="Helvetica"/>
                <w:color w:val="444444"/>
                <w:sz w:val="21"/>
                <w:szCs w:val="21"/>
                <w:lang w:eastAsia="es-MX"/>
              </w:rPr>
              <w:t>CEDH</w:t>
            </w:r>
            <w:proofErr w:type="spellEnd"/>
            <w:r w:rsidR="004A3148" w:rsidRPr="000D57BF">
              <w:rPr>
                <w:rFonts w:ascii="Helvetica" w:eastAsia="Times New Roman" w:hAnsi="Helvetica" w:cs="Helvetica"/>
                <w:color w:val="444444"/>
                <w:sz w:val="21"/>
                <w:szCs w:val="21"/>
                <w:lang w:eastAsia="es-MX"/>
              </w:rPr>
              <w:t>)</w:t>
            </w:r>
            <w:r w:rsidR="004A3148">
              <w:rPr>
                <w:rFonts w:ascii="Helvetica" w:eastAsia="Times New Roman" w:hAnsi="Helvetica" w:cs="Helvetica"/>
                <w:color w:val="444444"/>
                <w:sz w:val="21"/>
                <w:szCs w:val="21"/>
                <w:lang w:eastAsia="es-MX"/>
              </w:rPr>
              <w:t xml:space="preserve">, del </w:t>
            </w:r>
            <w:r w:rsidRPr="000D57BF">
              <w:rPr>
                <w:rFonts w:ascii="Helvetica" w:eastAsia="Times New Roman" w:hAnsi="Helvetica" w:cs="Helvetica"/>
                <w:color w:val="444444"/>
                <w:sz w:val="21"/>
                <w:szCs w:val="21"/>
                <w:lang w:eastAsia="es-MX"/>
              </w:rPr>
              <w:t>Instituto Estatal Electoral (</w:t>
            </w:r>
            <w:proofErr w:type="spellStart"/>
            <w:r w:rsidRPr="000D57BF">
              <w:rPr>
                <w:rFonts w:ascii="Helvetica" w:eastAsia="Times New Roman" w:hAnsi="Helvetica" w:cs="Helvetica"/>
                <w:color w:val="444444"/>
                <w:sz w:val="21"/>
                <w:szCs w:val="21"/>
                <w:lang w:eastAsia="es-MX"/>
              </w:rPr>
              <w:t>IEE</w:t>
            </w:r>
            <w:proofErr w:type="spellEnd"/>
            <w:r w:rsidRPr="000D57BF">
              <w:rPr>
                <w:rFonts w:ascii="Helvetica" w:eastAsia="Times New Roman" w:hAnsi="Helvetica" w:cs="Helvetica"/>
                <w:color w:val="444444"/>
                <w:sz w:val="21"/>
                <w:szCs w:val="21"/>
                <w:lang w:eastAsia="es-MX"/>
              </w:rPr>
              <w:t xml:space="preserve">), </w:t>
            </w:r>
            <w:r w:rsidR="004A3148">
              <w:rPr>
                <w:rFonts w:ascii="Helvetica" w:eastAsia="Times New Roman" w:hAnsi="Helvetica" w:cs="Helvetica"/>
                <w:color w:val="444444"/>
                <w:sz w:val="21"/>
                <w:szCs w:val="21"/>
                <w:lang w:eastAsia="es-MX"/>
              </w:rPr>
              <w:t xml:space="preserve">del </w:t>
            </w:r>
            <w:r w:rsidRPr="000D57BF">
              <w:rPr>
                <w:rFonts w:ascii="Helvetica" w:eastAsia="Times New Roman" w:hAnsi="Helvetica" w:cs="Helvetica"/>
                <w:color w:val="444444"/>
                <w:sz w:val="21"/>
                <w:szCs w:val="21"/>
                <w:lang w:eastAsia="es-MX"/>
              </w:rPr>
              <w:t>Instituto de Transparencia y Acceso a la Información(</w:t>
            </w:r>
            <w:proofErr w:type="spellStart"/>
            <w:r w:rsidRPr="000D57BF">
              <w:rPr>
                <w:rFonts w:ascii="Helvetica" w:eastAsia="Times New Roman" w:hAnsi="Helvetica" w:cs="Helvetica"/>
                <w:color w:val="444444"/>
                <w:sz w:val="21"/>
                <w:szCs w:val="21"/>
                <w:lang w:eastAsia="es-MX"/>
              </w:rPr>
              <w:t>ITAI</w:t>
            </w:r>
            <w:proofErr w:type="spellEnd"/>
            <w:r w:rsidRPr="000D57BF">
              <w:rPr>
                <w:rFonts w:ascii="Helvetica" w:eastAsia="Times New Roman" w:hAnsi="Helvetica" w:cs="Helvetica"/>
                <w:color w:val="444444"/>
                <w:sz w:val="21"/>
                <w:szCs w:val="21"/>
                <w:lang w:eastAsia="es-MX"/>
              </w:rPr>
              <w:t xml:space="preserve">), </w:t>
            </w:r>
            <w:r w:rsidR="004A3148">
              <w:rPr>
                <w:rFonts w:ascii="Helvetica" w:eastAsia="Times New Roman" w:hAnsi="Helvetica" w:cs="Helvetica"/>
                <w:color w:val="444444"/>
                <w:sz w:val="21"/>
                <w:szCs w:val="21"/>
                <w:lang w:eastAsia="es-MX"/>
              </w:rPr>
              <w:t xml:space="preserve">del Tribunal </w:t>
            </w:r>
            <w:r w:rsidR="004A3148" w:rsidRPr="000D57BF">
              <w:rPr>
                <w:rFonts w:ascii="Helvetica" w:eastAsia="Times New Roman" w:hAnsi="Helvetica" w:cs="Helvetica"/>
                <w:color w:val="444444"/>
                <w:sz w:val="21"/>
                <w:szCs w:val="21"/>
                <w:lang w:eastAsia="es-MX"/>
              </w:rPr>
              <w:t>Estatal Electoral (</w:t>
            </w:r>
            <w:proofErr w:type="spellStart"/>
            <w:r w:rsidR="004A3148">
              <w:rPr>
                <w:rFonts w:ascii="Helvetica" w:eastAsia="Times New Roman" w:hAnsi="Helvetica" w:cs="Helvetica"/>
                <w:color w:val="444444"/>
                <w:sz w:val="21"/>
                <w:szCs w:val="21"/>
                <w:lang w:eastAsia="es-MX"/>
              </w:rPr>
              <w:t>T</w:t>
            </w:r>
            <w:r w:rsidR="004A3148" w:rsidRPr="000D57BF">
              <w:rPr>
                <w:rFonts w:ascii="Helvetica" w:eastAsia="Times New Roman" w:hAnsi="Helvetica" w:cs="Helvetica"/>
                <w:color w:val="444444"/>
                <w:sz w:val="21"/>
                <w:szCs w:val="21"/>
                <w:lang w:eastAsia="es-MX"/>
              </w:rPr>
              <w:t>EE</w:t>
            </w:r>
            <w:proofErr w:type="spellEnd"/>
            <w:r w:rsidR="004A3148" w:rsidRPr="000D57BF">
              <w:rPr>
                <w:rFonts w:ascii="Helvetica" w:eastAsia="Times New Roman" w:hAnsi="Helvetica" w:cs="Helvetica"/>
                <w:color w:val="444444"/>
                <w:sz w:val="21"/>
                <w:szCs w:val="21"/>
                <w:lang w:eastAsia="es-MX"/>
              </w:rPr>
              <w:t xml:space="preserve">) </w:t>
            </w:r>
            <w:r w:rsidR="004A3148">
              <w:rPr>
                <w:rFonts w:ascii="Helvetica" w:eastAsia="Times New Roman" w:hAnsi="Helvetica" w:cs="Helvetica"/>
                <w:color w:val="444444"/>
                <w:sz w:val="21"/>
                <w:szCs w:val="21"/>
                <w:lang w:eastAsia="es-MX"/>
              </w:rPr>
              <w:t xml:space="preserve">y de la </w:t>
            </w:r>
            <w:r w:rsidRPr="000D57BF">
              <w:rPr>
                <w:rFonts w:ascii="Helvetica" w:eastAsia="Times New Roman" w:hAnsi="Helvetica" w:cs="Helvetica"/>
                <w:color w:val="444444"/>
                <w:sz w:val="21"/>
                <w:szCs w:val="21"/>
                <w:lang w:eastAsia="es-MX"/>
              </w:rPr>
              <w:t xml:space="preserve">Universidad </w:t>
            </w:r>
            <w:r w:rsidR="004A3148" w:rsidRPr="000D57BF">
              <w:rPr>
                <w:rFonts w:ascii="Helvetica" w:eastAsia="Times New Roman" w:hAnsi="Helvetica" w:cs="Helvetica"/>
                <w:color w:val="444444"/>
                <w:sz w:val="21"/>
                <w:szCs w:val="21"/>
                <w:lang w:eastAsia="es-MX"/>
              </w:rPr>
              <w:t>Autónoma</w:t>
            </w:r>
            <w:r w:rsidRPr="000D57BF">
              <w:rPr>
                <w:rFonts w:ascii="Helvetica" w:eastAsia="Times New Roman" w:hAnsi="Helvetica" w:cs="Helvetica"/>
                <w:color w:val="444444"/>
                <w:sz w:val="21"/>
                <w:szCs w:val="21"/>
                <w:lang w:eastAsia="es-MX"/>
              </w:rPr>
              <w:t xml:space="preserve"> de Baja California Sur</w:t>
            </w:r>
            <w:r w:rsidR="004A3148">
              <w:rPr>
                <w:rFonts w:ascii="Helvetica" w:eastAsia="Times New Roman" w:hAnsi="Helvetica" w:cs="Helvetica"/>
                <w:color w:val="444444"/>
                <w:sz w:val="21"/>
                <w:szCs w:val="21"/>
                <w:lang w:eastAsia="es-MX"/>
              </w:rPr>
              <w:t xml:space="preserve"> </w:t>
            </w:r>
            <w:r w:rsidRPr="000D57BF">
              <w:rPr>
                <w:rFonts w:ascii="Helvetica" w:eastAsia="Times New Roman" w:hAnsi="Helvetica" w:cs="Helvetica"/>
                <w:color w:val="444444"/>
                <w:sz w:val="21"/>
                <w:szCs w:val="21"/>
                <w:lang w:eastAsia="es-MX"/>
              </w:rPr>
              <w:t>(</w:t>
            </w:r>
            <w:proofErr w:type="spellStart"/>
            <w:r w:rsidRPr="000D57BF">
              <w:rPr>
                <w:rFonts w:ascii="Helvetica" w:eastAsia="Times New Roman" w:hAnsi="Helvetica" w:cs="Helvetica"/>
                <w:color w:val="444444"/>
                <w:sz w:val="21"/>
                <w:szCs w:val="21"/>
                <w:lang w:eastAsia="es-MX"/>
              </w:rPr>
              <w:t>UABCS</w:t>
            </w:r>
            <w:proofErr w:type="spellEnd"/>
            <w:r w:rsidRPr="000D57BF">
              <w:rPr>
                <w:rFonts w:ascii="Helvetica" w:eastAsia="Times New Roman" w:hAnsi="Helvetica" w:cs="Helvetica"/>
                <w:color w:val="444444"/>
                <w:sz w:val="21"/>
                <w:szCs w:val="21"/>
                <w:lang w:eastAsia="es-MX"/>
              </w:rPr>
              <w:t>).</w:t>
            </w:r>
          </w:p>
          <w:p w:rsidR="000D57BF" w:rsidRPr="000D57BF" w:rsidRDefault="000D57BF" w:rsidP="000D57BF">
            <w:pPr>
              <w:spacing w:after="150" w:line="336" w:lineRule="atLeast"/>
              <w:jc w:val="both"/>
              <w:rPr>
                <w:rFonts w:ascii="Helvetica" w:eastAsia="Times New Roman" w:hAnsi="Helvetica" w:cs="Helvetica"/>
                <w:color w:val="444444"/>
                <w:sz w:val="21"/>
                <w:szCs w:val="21"/>
                <w:lang w:eastAsia="es-MX"/>
              </w:rPr>
            </w:pPr>
            <w:r w:rsidRPr="000D57BF">
              <w:rPr>
                <w:rFonts w:ascii="Helvetica" w:eastAsia="Times New Roman" w:hAnsi="Helvetica" w:cs="Helvetica"/>
                <w:color w:val="444444"/>
                <w:sz w:val="21"/>
                <w:szCs w:val="21"/>
                <w:lang w:eastAsia="es-MX"/>
              </w:rPr>
              <w:t>El </w:t>
            </w:r>
            <w:r w:rsidRPr="000D57BF">
              <w:rPr>
                <w:rFonts w:ascii="Helvetica" w:eastAsia="Times New Roman" w:hAnsi="Helvetica" w:cs="Helvetica"/>
                <w:b/>
                <w:bCs/>
                <w:color w:val="444444"/>
                <w:sz w:val="21"/>
                <w:szCs w:val="21"/>
                <w:lang w:eastAsia="es-MX"/>
              </w:rPr>
              <w:t>Tomo VII Sector Paraestatal</w:t>
            </w:r>
            <w:r w:rsidRPr="000D57BF">
              <w:rPr>
                <w:rFonts w:ascii="Helvetica" w:eastAsia="Times New Roman" w:hAnsi="Helvetica" w:cs="Helvetica"/>
                <w:color w:val="444444"/>
                <w:sz w:val="21"/>
                <w:szCs w:val="21"/>
                <w:lang w:eastAsia="es-MX"/>
              </w:rPr>
              <w:t>, atendiendo al Acuerdo por el que se armoniza la estructura de las Cuentas Públicas publicado en el Diario Oficial de la Federación el 30 de diciembre de 2013, contiene dos apartados</w:t>
            </w:r>
            <w:r w:rsidR="004A3148">
              <w:rPr>
                <w:rFonts w:ascii="Helvetica" w:eastAsia="Times New Roman" w:hAnsi="Helvetica" w:cs="Helvetica"/>
                <w:color w:val="444444"/>
                <w:sz w:val="21"/>
                <w:szCs w:val="21"/>
                <w:lang w:eastAsia="es-MX"/>
              </w:rPr>
              <w:t>:</w:t>
            </w:r>
            <w:r w:rsidRPr="000D57BF">
              <w:rPr>
                <w:rFonts w:ascii="Helvetica" w:eastAsia="Times New Roman" w:hAnsi="Helvetica" w:cs="Helvetica"/>
                <w:color w:val="444444"/>
                <w:sz w:val="21"/>
                <w:szCs w:val="21"/>
                <w:lang w:eastAsia="es-MX"/>
              </w:rPr>
              <w:t xml:space="preserve"> </w:t>
            </w:r>
            <w:r w:rsidR="004A3148">
              <w:rPr>
                <w:rFonts w:ascii="Helvetica" w:eastAsia="Times New Roman" w:hAnsi="Helvetica" w:cs="Helvetica"/>
                <w:color w:val="444444"/>
                <w:sz w:val="21"/>
                <w:szCs w:val="21"/>
                <w:lang w:eastAsia="es-MX"/>
              </w:rPr>
              <w:t>e</w:t>
            </w:r>
            <w:r w:rsidRPr="000D57BF">
              <w:rPr>
                <w:rFonts w:ascii="Helvetica" w:eastAsia="Times New Roman" w:hAnsi="Helvetica" w:cs="Helvetica"/>
                <w:color w:val="444444"/>
                <w:sz w:val="21"/>
                <w:szCs w:val="21"/>
                <w:lang w:eastAsia="es-MX"/>
              </w:rPr>
              <w:t xml:space="preserve">n cada </w:t>
            </w:r>
            <w:proofErr w:type="spellStart"/>
            <w:r w:rsidRPr="000D57BF">
              <w:rPr>
                <w:rFonts w:ascii="Helvetica" w:eastAsia="Times New Roman" w:hAnsi="Helvetica" w:cs="Helvetica"/>
                <w:color w:val="444444"/>
                <w:sz w:val="21"/>
                <w:szCs w:val="21"/>
                <w:lang w:eastAsia="es-MX"/>
              </w:rPr>
              <w:t>subapartado</w:t>
            </w:r>
            <w:proofErr w:type="spellEnd"/>
            <w:r w:rsidRPr="000D57BF">
              <w:rPr>
                <w:rFonts w:ascii="Helvetica" w:eastAsia="Times New Roman" w:hAnsi="Helvetica" w:cs="Helvetica"/>
                <w:color w:val="444444"/>
                <w:sz w:val="21"/>
                <w:szCs w:val="21"/>
                <w:lang w:eastAsia="es-MX"/>
              </w:rPr>
              <w:t xml:space="preserve"> se presenta la </w:t>
            </w:r>
            <w:r w:rsidR="004A3148">
              <w:rPr>
                <w:rFonts w:ascii="Helvetica" w:eastAsia="Times New Roman" w:hAnsi="Helvetica" w:cs="Helvetica"/>
                <w:color w:val="444444"/>
                <w:sz w:val="21"/>
                <w:szCs w:val="21"/>
                <w:lang w:eastAsia="es-MX"/>
              </w:rPr>
              <w:t>I</w:t>
            </w:r>
            <w:r w:rsidRPr="000D57BF">
              <w:rPr>
                <w:rFonts w:ascii="Helvetica" w:eastAsia="Times New Roman" w:hAnsi="Helvetica" w:cs="Helvetica"/>
                <w:color w:val="444444"/>
                <w:sz w:val="21"/>
                <w:szCs w:val="21"/>
                <w:lang w:eastAsia="es-MX"/>
              </w:rPr>
              <w:t xml:space="preserve">nformación </w:t>
            </w:r>
            <w:r w:rsidR="004A3148">
              <w:rPr>
                <w:rFonts w:ascii="Helvetica" w:eastAsia="Times New Roman" w:hAnsi="Helvetica" w:cs="Helvetica"/>
                <w:color w:val="444444"/>
                <w:sz w:val="21"/>
                <w:szCs w:val="21"/>
                <w:lang w:eastAsia="es-MX"/>
              </w:rPr>
              <w:t>C</w:t>
            </w:r>
            <w:r w:rsidRPr="000D57BF">
              <w:rPr>
                <w:rFonts w:ascii="Helvetica" w:eastAsia="Times New Roman" w:hAnsi="Helvetica" w:cs="Helvetica"/>
                <w:color w:val="444444"/>
                <w:sz w:val="21"/>
                <w:szCs w:val="21"/>
                <w:lang w:eastAsia="es-MX"/>
              </w:rPr>
              <w:t xml:space="preserve">ontable, </w:t>
            </w:r>
            <w:r w:rsidR="004A3148">
              <w:rPr>
                <w:rFonts w:ascii="Helvetica" w:eastAsia="Times New Roman" w:hAnsi="Helvetica" w:cs="Helvetica"/>
                <w:color w:val="444444"/>
                <w:sz w:val="21"/>
                <w:szCs w:val="21"/>
                <w:lang w:eastAsia="es-MX"/>
              </w:rPr>
              <w:t>P</w:t>
            </w:r>
            <w:r w:rsidRPr="000D57BF">
              <w:rPr>
                <w:rFonts w:ascii="Helvetica" w:eastAsia="Times New Roman" w:hAnsi="Helvetica" w:cs="Helvetica"/>
                <w:color w:val="444444"/>
                <w:sz w:val="21"/>
                <w:szCs w:val="21"/>
                <w:lang w:eastAsia="es-MX"/>
              </w:rPr>
              <w:t xml:space="preserve">resupuestaria y </w:t>
            </w:r>
            <w:r w:rsidR="004A3148">
              <w:rPr>
                <w:rFonts w:ascii="Helvetica" w:eastAsia="Times New Roman" w:hAnsi="Helvetica" w:cs="Helvetica"/>
                <w:color w:val="444444"/>
                <w:sz w:val="21"/>
                <w:szCs w:val="21"/>
                <w:lang w:eastAsia="es-MX"/>
              </w:rPr>
              <w:t>P</w:t>
            </w:r>
            <w:r w:rsidRPr="000D57BF">
              <w:rPr>
                <w:rFonts w:ascii="Helvetica" w:eastAsia="Times New Roman" w:hAnsi="Helvetica" w:cs="Helvetica"/>
                <w:color w:val="444444"/>
                <w:sz w:val="21"/>
                <w:szCs w:val="21"/>
                <w:lang w:eastAsia="es-MX"/>
              </w:rPr>
              <w:t xml:space="preserve">rogramática de cada ente público según el tipo de ente; ya sea Paraestatal </w:t>
            </w:r>
            <w:proofErr w:type="spellStart"/>
            <w:r w:rsidRPr="000D57BF">
              <w:rPr>
                <w:rFonts w:ascii="Helvetica" w:eastAsia="Times New Roman" w:hAnsi="Helvetica" w:cs="Helvetica"/>
                <w:color w:val="444444"/>
                <w:sz w:val="21"/>
                <w:szCs w:val="21"/>
                <w:lang w:eastAsia="es-MX"/>
              </w:rPr>
              <w:t>ó</w:t>
            </w:r>
            <w:proofErr w:type="spellEnd"/>
            <w:r w:rsidRPr="000D57BF">
              <w:rPr>
                <w:rFonts w:ascii="Helvetica" w:eastAsia="Times New Roman" w:hAnsi="Helvetica" w:cs="Helvetica"/>
                <w:color w:val="444444"/>
                <w:sz w:val="21"/>
                <w:szCs w:val="21"/>
                <w:lang w:eastAsia="es-MX"/>
              </w:rPr>
              <w:t xml:space="preserve"> Descentralizado.</w:t>
            </w:r>
          </w:p>
          <w:p w:rsidR="000D57BF" w:rsidRPr="000D57BF" w:rsidRDefault="000D57BF" w:rsidP="000D57BF">
            <w:pPr>
              <w:spacing w:after="150" w:line="336" w:lineRule="atLeast"/>
              <w:jc w:val="both"/>
              <w:rPr>
                <w:rFonts w:ascii="Helvetica" w:eastAsia="Times New Roman" w:hAnsi="Helvetica" w:cs="Helvetica"/>
                <w:color w:val="444444"/>
                <w:sz w:val="21"/>
                <w:szCs w:val="21"/>
                <w:lang w:eastAsia="es-MX"/>
              </w:rPr>
            </w:pPr>
            <w:r w:rsidRPr="000D57BF">
              <w:rPr>
                <w:rFonts w:ascii="Helvetica" w:eastAsia="Times New Roman" w:hAnsi="Helvetica" w:cs="Helvetica"/>
                <w:color w:val="444444"/>
                <w:sz w:val="21"/>
                <w:szCs w:val="21"/>
                <w:lang w:eastAsia="es-MX"/>
              </w:rPr>
              <w:t xml:space="preserve">La </w:t>
            </w:r>
            <w:bookmarkStart w:id="0" w:name="_GoBack"/>
            <w:r w:rsidRPr="005B0D11">
              <w:rPr>
                <w:rFonts w:ascii="Helvetica" w:eastAsia="Times New Roman" w:hAnsi="Helvetica" w:cs="Helvetica"/>
                <w:b/>
                <w:color w:val="444444"/>
                <w:sz w:val="21"/>
                <w:szCs w:val="21"/>
                <w:lang w:eastAsia="es-MX"/>
              </w:rPr>
              <w:t xml:space="preserve">Cuenta Pública del </w:t>
            </w:r>
            <w:r w:rsidR="005B0D11" w:rsidRPr="005B0D11">
              <w:rPr>
                <w:rFonts w:ascii="Helvetica" w:eastAsia="Times New Roman" w:hAnsi="Helvetica" w:cs="Helvetica"/>
                <w:b/>
                <w:color w:val="444444"/>
                <w:sz w:val="21"/>
                <w:szCs w:val="21"/>
                <w:lang w:eastAsia="es-MX"/>
              </w:rPr>
              <w:t>E</w:t>
            </w:r>
            <w:r w:rsidRPr="005B0D11">
              <w:rPr>
                <w:rFonts w:ascii="Helvetica" w:eastAsia="Times New Roman" w:hAnsi="Helvetica" w:cs="Helvetica"/>
                <w:b/>
                <w:color w:val="444444"/>
                <w:sz w:val="21"/>
                <w:szCs w:val="21"/>
                <w:lang w:eastAsia="es-MX"/>
              </w:rPr>
              <w:t xml:space="preserve">jercicio </w:t>
            </w:r>
            <w:r w:rsidR="005B0D11" w:rsidRPr="005B0D11">
              <w:rPr>
                <w:rFonts w:ascii="Helvetica" w:eastAsia="Times New Roman" w:hAnsi="Helvetica" w:cs="Helvetica"/>
                <w:b/>
                <w:color w:val="444444"/>
                <w:sz w:val="21"/>
                <w:szCs w:val="21"/>
                <w:lang w:eastAsia="es-MX"/>
              </w:rPr>
              <w:t>F</w:t>
            </w:r>
            <w:r w:rsidRPr="005B0D11">
              <w:rPr>
                <w:rFonts w:ascii="Helvetica" w:eastAsia="Times New Roman" w:hAnsi="Helvetica" w:cs="Helvetica"/>
                <w:b/>
                <w:color w:val="444444"/>
                <w:sz w:val="21"/>
                <w:szCs w:val="21"/>
                <w:lang w:eastAsia="es-MX"/>
              </w:rPr>
              <w:t>iscal 201</w:t>
            </w:r>
            <w:r w:rsidR="004A3148" w:rsidRPr="005B0D11">
              <w:rPr>
                <w:rFonts w:ascii="Helvetica" w:eastAsia="Times New Roman" w:hAnsi="Helvetica" w:cs="Helvetica"/>
                <w:b/>
                <w:color w:val="444444"/>
                <w:sz w:val="21"/>
                <w:szCs w:val="21"/>
                <w:lang w:eastAsia="es-MX"/>
              </w:rPr>
              <w:t>5</w:t>
            </w:r>
            <w:bookmarkEnd w:id="0"/>
            <w:r w:rsidRPr="000D57BF">
              <w:rPr>
                <w:rFonts w:ascii="Helvetica" w:eastAsia="Times New Roman" w:hAnsi="Helvetica" w:cs="Helvetica"/>
                <w:color w:val="444444"/>
                <w:sz w:val="21"/>
                <w:szCs w:val="21"/>
                <w:lang w:eastAsia="es-MX"/>
              </w:rPr>
              <w:t xml:space="preserve">, adicionalmente a contar con una estructura armonizada, presenta a su vez sus contenidos y formatos armonizados, facilitando con ello la consolidación de la información financiera. Lo anterior contribuye a la </w:t>
            </w:r>
            <w:r w:rsidR="004A3148">
              <w:rPr>
                <w:rFonts w:ascii="Helvetica" w:eastAsia="Times New Roman" w:hAnsi="Helvetica" w:cs="Helvetica"/>
                <w:color w:val="444444"/>
                <w:sz w:val="21"/>
                <w:szCs w:val="21"/>
                <w:lang w:eastAsia="es-MX"/>
              </w:rPr>
              <w:t>F</w:t>
            </w:r>
            <w:r w:rsidRPr="000D57BF">
              <w:rPr>
                <w:rFonts w:ascii="Helvetica" w:eastAsia="Times New Roman" w:hAnsi="Helvetica" w:cs="Helvetica"/>
                <w:color w:val="444444"/>
                <w:sz w:val="21"/>
                <w:szCs w:val="21"/>
                <w:lang w:eastAsia="es-MX"/>
              </w:rPr>
              <w:t xml:space="preserve">iscalización de los </w:t>
            </w:r>
            <w:r w:rsidR="004A3148">
              <w:rPr>
                <w:rFonts w:ascii="Helvetica" w:eastAsia="Times New Roman" w:hAnsi="Helvetica" w:cs="Helvetica"/>
                <w:color w:val="444444"/>
                <w:sz w:val="21"/>
                <w:szCs w:val="21"/>
                <w:lang w:eastAsia="es-MX"/>
              </w:rPr>
              <w:t>A</w:t>
            </w:r>
            <w:r w:rsidRPr="000D57BF">
              <w:rPr>
                <w:rFonts w:ascii="Helvetica" w:eastAsia="Times New Roman" w:hAnsi="Helvetica" w:cs="Helvetica"/>
                <w:color w:val="444444"/>
                <w:sz w:val="21"/>
                <w:szCs w:val="21"/>
                <w:lang w:eastAsia="es-MX"/>
              </w:rPr>
              <w:t xml:space="preserve">ctivos, </w:t>
            </w:r>
            <w:r w:rsidR="004A3148">
              <w:rPr>
                <w:rFonts w:ascii="Helvetica" w:eastAsia="Times New Roman" w:hAnsi="Helvetica" w:cs="Helvetica"/>
                <w:color w:val="444444"/>
                <w:sz w:val="21"/>
                <w:szCs w:val="21"/>
                <w:lang w:eastAsia="es-MX"/>
              </w:rPr>
              <w:t>P</w:t>
            </w:r>
            <w:r w:rsidRPr="000D57BF">
              <w:rPr>
                <w:rFonts w:ascii="Helvetica" w:eastAsia="Times New Roman" w:hAnsi="Helvetica" w:cs="Helvetica"/>
                <w:color w:val="444444"/>
                <w:sz w:val="21"/>
                <w:szCs w:val="21"/>
                <w:lang w:eastAsia="es-MX"/>
              </w:rPr>
              <w:t xml:space="preserve">asivos, </w:t>
            </w:r>
            <w:r w:rsidR="004A3148">
              <w:rPr>
                <w:rFonts w:ascii="Helvetica" w:eastAsia="Times New Roman" w:hAnsi="Helvetica" w:cs="Helvetica"/>
                <w:color w:val="444444"/>
                <w:sz w:val="21"/>
                <w:szCs w:val="21"/>
                <w:lang w:eastAsia="es-MX"/>
              </w:rPr>
              <w:t>I</w:t>
            </w:r>
            <w:r w:rsidRPr="000D57BF">
              <w:rPr>
                <w:rFonts w:ascii="Helvetica" w:eastAsia="Times New Roman" w:hAnsi="Helvetica" w:cs="Helvetica"/>
                <w:color w:val="444444"/>
                <w:sz w:val="21"/>
                <w:szCs w:val="21"/>
                <w:lang w:eastAsia="es-MX"/>
              </w:rPr>
              <w:t xml:space="preserve">ngresos y </w:t>
            </w:r>
            <w:r w:rsidR="004A3148">
              <w:rPr>
                <w:rFonts w:ascii="Helvetica" w:eastAsia="Times New Roman" w:hAnsi="Helvetica" w:cs="Helvetica"/>
                <w:color w:val="444444"/>
                <w:sz w:val="21"/>
                <w:szCs w:val="21"/>
                <w:lang w:eastAsia="es-MX"/>
              </w:rPr>
              <w:t>G</w:t>
            </w:r>
            <w:r w:rsidRPr="000D57BF">
              <w:rPr>
                <w:rFonts w:ascii="Helvetica" w:eastAsia="Times New Roman" w:hAnsi="Helvetica" w:cs="Helvetica"/>
                <w:color w:val="444444"/>
                <w:sz w:val="21"/>
                <w:szCs w:val="21"/>
                <w:lang w:eastAsia="es-MX"/>
              </w:rPr>
              <w:t xml:space="preserve">astos, así como a la </w:t>
            </w:r>
            <w:r w:rsidR="004A3148">
              <w:rPr>
                <w:rFonts w:ascii="Helvetica" w:eastAsia="Times New Roman" w:hAnsi="Helvetica" w:cs="Helvetica"/>
                <w:color w:val="444444"/>
                <w:sz w:val="21"/>
                <w:szCs w:val="21"/>
                <w:lang w:eastAsia="es-MX"/>
              </w:rPr>
              <w:t>T</w:t>
            </w:r>
            <w:r w:rsidRPr="000D57BF">
              <w:rPr>
                <w:rFonts w:ascii="Helvetica" w:eastAsia="Times New Roman" w:hAnsi="Helvetica" w:cs="Helvetica"/>
                <w:color w:val="444444"/>
                <w:sz w:val="21"/>
                <w:szCs w:val="21"/>
                <w:lang w:eastAsia="es-MX"/>
              </w:rPr>
              <w:t xml:space="preserve">ransparencia y a la </w:t>
            </w:r>
            <w:r w:rsidR="004A3148">
              <w:rPr>
                <w:rFonts w:ascii="Helvetica" w:eastAsia="Times New Roman" w:hAnsi="Helvetica" w:cs="Helvetica"/>
                <w:color w:val="444444"/>
                <w:sz w:val="21"/>
                <w:szCs w:val="21"/>
                <w:lang w:eastAsia="es-MX"/>
              </w:rPr>
              <w:t>R</w:t>
            </w:r>
            <w:r w:rsidRPr="000D57BF">
              <w:rPr>
                <w:rFonts w:ascii="Helvetica" w:eastAsia="Times New Roman" w:hAnsi="Helvetica" w:cs="Helvetica"/>
                <w:color w:val="444444"/>
                <w:sz w:val="21"/>
                <w:szCs w:val="21"/>
                <w:lang w:eastAsia="es-MX"/>
              </w:rPr>
              <w:t xml:space="preserve">endición de </w:t>
            </w:r>
            <w:r w:rsidR="004A3148">
              <w:rPr>
                <w:rFonts w:ascii="Helvetica" w:eastAsia="Times New Roman" w:hAnsi="Helvetica" w:cs="Helvetica"/>
                <w:color w:val="444444"/>
                <w:sz w:val="21"/>
                <w:szCs w:val="21"/>
                <w:lang w:eastAsia="es-MX"/>
              </w:rPr>
              <w:t>C</w:t>
            </w:r>
            <w:r w:rsidRPr="000D57BF">
              <w:rPr>
                <w:rFonts w:ascii="Helvetica" w:eastAsia="Times New Roman" w:hAnsi="Helvetica" w:cs="Helvetica"/>
                <w:color w:val="444444"/>
                <w:sz w:val="21"/>
                <w:szCs w:val="21"/>
                <w:lang w:eastAsia="es-MX"/>
              </w:rPr>
              <w:t>uentas.</w:t>
            </w:r>
          </w:p>
          <w:p w:rsidR="000D57BF" w:rsidRPr="000D57BF" w:rsidRDefault="000D57BF" w:rsidP="004A3148">
            <w:pPr>
              <w:spacing w:after="150" w:line="336" w:lineRule="atLeast"/>
              <w:jc w:val="both"/>
              <w:rPr>
                <w:rFonts w:ascii="Helvetica" w:eastAsia="Times New Roman" w:hAnsi="Helvetica" w:cs="Helvetica"/>
                <w:color w:val="444444"/>
                <w:sz w:val="21"/>
                <w:szCs w:val="21"/>
                <w:lang w:eastAsia="es-MX"/>
              </w:rPr>
            </w:pPr>
            <w:r w:rsidRPr="000D57BF">
              <w:rPr>
                <w:rFonts w:ascii="Helvetica" w:eastAsia="Times New Roman" w:hAnsi="Helvetica" w:cs="Helvetica"/>
                <w:color w:val="444444"/>
                <w:sz w:val="21"/>
                <w:szCs w:val="21"/>
                <w:lang w:eastAsia="es-MX"/>
              </w:rPr>
              <w:t xml:space="preserve">Con el esfuerzo coordinado entre los poderes Legislativo, Judicial y Ejecutivo, de los Órganos Autónomos así como de las entidades del </w:t>
            </w:r>
            <w:r w:rsidR="004A3148">
              <w:rPr>
                <w:rFonts w:ascii="Helvetica" w:eastAsia="Times New Roman" w:hAnsi="Helvetica" w:cs="Helvetica"/>
                <w:color w:val="444444"/>
                <w:sz w:val="21"/>
                <w:szCs w:val="21"/>
                <w:lang w:eastAsia="es-MX"/>
              </w:rPr>
              <w:t>S</w:t>
            </w:r>
            <w:r w:rsidRPr="000D57BF">
              <w:rPr>
                <w:rFonts w:ascii="Helvetica" w:eastAsia="Times New Roman" w:hAnsi="Helvetica" w:cs="Helvetica"/>
                <w:color w:val="444444"/>
                <w:sz w:val="21"/>
                <w:szCs w:val="21"/>
                <w:lang w:eastAsia="es-MX"/>
              </w:rPr>
              <w:t xml:space="preserve">ector </w:t>
            </w:r>
            <w:r w:rsidR="004A3148">
              <w:rPr>
                <w:rFonts w:ascii="Helvetica" w:eastAsia="Times New Roman" w:hAnsi="Helvetica" w:cs="Helvetica"/>
                <w:color w:val="444444"/>
                <w:sz w:val="21"/>
                <w:szCs w:val="21"/>
                <w:lang w:eastAsia="es-MX"/>
              </w:rPr>
              <w:t>P</w:t>
            </w:r>
            <w:r w:rsidRPr="000D57BF">
              <w:rPr>
                <w:rFonts w:ascii="Helvetica" w:eastAsia="Times New Roman" w:hAnsi="Helvetica" w:cs="Helvetica"/>
                <w:color w:val="444444"/>
                <w:sz w:val="21"/>
                <w:szCs w:val="21"/>
                <w:lang w:eastAsia="es-MX"/>
              </w:rPr>
              <w:t xml:space="preserve">araestatal, se ha logrado generar la presente Cuenta Pública, que se constituye no sólo como un referente para la rendición de cuentas en el cumplimiento del Mandato Constitucional sino que también lo es de cara a la </w:t>
            </w:r>
            <w:r w:rsidR="004A3148">
              <w:rPr>
                <w:rFonts w:ascii="Helvetica" w:eastAsia="Times New Roman" w:hAnsi="Helvetica" w:cs="Helvetica"/>
                <w:color w:val="444444"/>
                <w:sz w:val="21"/>
                <w:szCs w:val="21"/>
                <w:lang w:eastAsia="es-MX"/>
              </w:rPr>
              <w:t>S</w:t>
            </w:r>
            <w:r w:rsidRPr="000D57BF">
              <w:rPr>
                <w:rFonts w:ascii="Helvetica" w:eastAsia="Times New Roman" w:hAnsi="Helvetica" w:cs="Helvetica"/>
                <w:color w:val="444444"/>
                <w:sz w:val="21"/>
                <w:szCs w:val="21"/>
                <w:lang w:eastAsia="es-MX"/>
              </w:rPr>
              <w:t xml:space="preserve">ociedad </w:t>
            </w:r>
            <w:r w:rsidR="004A3148">
              <w:rPr>
                <w:rFonts w:ascii="Helvetica" w:eastAsia="Times New Roman" w:hAnsi="Helvetica" w:cs="Helvetica"/>
                <w:color w:val="444444"/>
                <w:sz w:val="21"/>
                <w:szCs w:val="21"/>
                <w:lang w:eastAsia="es-MX"/>
              </w:rPr>
              <w:t>C</w:t>
            </w:r>
            <w:r w:rsidRPr="000D57BF">
              <w:rPr>
                <w:rFonts w:ascii="Helvetica" w:eastAsia="Times New Roman" w:hAnsi="Helvetica" w:cs="Helvetica"/>
                <w:color w:val="444444"/>
                <w:sz w:val="21"/>
                <w:szCs w:val="21"/>
                <w:lang w:eastAsia="es-MX"/>
              </w:rPr>
              <w:t xml:space="preserve">ivil </w:t>
            </w:r>
            <w:r w:rsidR="004A3148">
              <w:rPr>
                <w:rFonts w:ascii="Helvetica" w:eastAsia="Times New Roman" w:hAnsi="Helvetica" w:cs="Helvetica"/>
                <w:color w:val="444444"/>
                <w:sz w:val="21"/>
                <w:szCs w:val="21"/>
                <w:lang w:eastAsia="es-MX"/>
              </w:rPr>
              <w:t>M</w:t>
            </w:r>
            <w:r w:rsidRPr="000D57BF">
              <w:rPr>
                <w:rFonts w:ascii="Helvetica" w:eastAsia="Times New Roman" w:hAnsi="Helvetica" w:cs="Helvetica"/>
                <w:color w:val="444444"/>
                <w:sz w:val="21"/>
                <w:szCs w:val="21"/>
                <w:lang w:eastAsia="es-MX"/>
              </w:rPr>
              <w:t>exicana.</w:t>
            </w:r>
          </w:p>
        </w:tc>
      </w:tr>
      <w:tr w:rsidR="005B0D11" w:rsidRPr="000D57BF" w:rsidTr="004A3148">
        <w:tc>
          <w:tcPr>
            <w:tcW w:w="0" w:type="auto"/>
            <w:gridSpan w:val="2"/>
            <w:shd w:val="clear" w:color="auto" w:fill="FAFAFA"/>
            <w:tcMar>
              <w:top w:w="0" w:type="dxa"/>
              <w:left w:w="0" w:type="dxa"/>
              <w:bottom w:w="0" w:type="dxa"/>
              <w:right w:w="0" w:type="dxa"/>
            </w:tcMar>
            <w:vAlign w:val="center"/>
          </w:tcPr>
          <w:p w:rsidR="005B0D11" w:rsidRPr="000D57BF" w:rsidRDefault="005B0D11" w:rsidP="000D57BF">
            <w:pPr>
              <w:spacing w:after="150" w:line="336" w:lineRule="atLeast"/>
              <w:jc w:val="both"/>
              <w:rPr>
                <w:rFonts w:ascii="Helvetica" w:eastAsia="Times New Roman" w:hAnsi="Helvetica" w:cs="Helvetica"/>
                <w:color w:val="444444"/>
                <w:sz w:val="21"/>
                <w:szCs w:val="21"/>
                <w:lang w:eastAsia="es-MX"/>
              </w:rPr>
            </w:pPr>
          </w:p>
        </w:tc>
      </w:tr>
    </w:tbl>
    <w:p w:rsidR="000D57BF" w:rsidRDefault="000D57BF" w:rsidP="000D57BF">
      <w:pPr>
        <w:jc w:val="both"/>
      </w:pPr>
    </w:p>
    <w:sectPr w:rsidR="000D57B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7BF"/>
    <w:rsid w:val="000D57BF"/>
    <w:rsid w:val="00350E20"/>
    <w:rsid w:val="004A3148"/>
    <w:rsid w:val="005B0D11"/>
    <w:rsid w:val="00AC29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D57B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D57BF"/>
    <w:rPr>
      <w:b/>
      <w:bCs/>
    </w:rPr>
  </w:style>
  <w:style w:type="character" w:customStyle="1" w:styleId="apple-converted-space">
    <w:name w:val="apple-converted-space"/>
    <w:basedOn w:val="Fuentedeprrafopredeter"/>
    <w:rsid w:val="000D57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D57B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D57BF"/>
    <w:rPr>
      <w:b/>
      <w:bCs/>
    </w:rPr>
  </w:style>
  <w:style w:type="character" w:customStyle="1" w:styleId="apple-converted-space">
    <w:name w:val="apple-converted-space"/>
    <w:basedOn w:val="Fuentedeprrafopredeter"/>
    <w:rsid w:val="000D5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224232">
      <w:bodyDiv w:val="1"/>
      <w:marLeft w:val="0"/>
      <w:marRight w:val="0"/>
      <w:marTop w:val="0"/>
      <w:marBottom w:val="0"/>
      <w:divBdr>
        <w:top w:val="none" w:sz="0" w:space="0" w:color="auto"/>
        <w:left w:val="none" w:sz="0" w:space="0" w:color="auto"/>
        <w:bottom w:val="none" w:sz="0" w:space="0" w:color="auto"/>
        <w:right w:val="none" w:sz="0" w:space="0" w:color="auto"/>
      </w:divBdr>
      <w:divsChild>
        <w:div w:id="1102453031">
          <w:marLeft w:val="0"/>
          <w:marRight w:val="0"/>
          <w:marTop w:val="0"/>
          <w:marBottom w:val="0"/>
          <w:divBdr>
            <w:top w:val="none" w:sz="0" w:space="0" w:color="auto"/>
            <w:left w:val="none" w:sz="0" w:space="0" w:color="auto"/>
            <w:bottom w:val="none" w:sz="0" w:space="0" w:color="auto"/>
            <w:right w:val="none" w:sz="0" w:space="0" w:color="auto"/>
          </w:divBdr>
        </w:div>
        <w:div w:id="2024472704">
          <w:marLeft w:val="0"/>
          <w:marRight w:val="0"/>
          <w:marTop w:val="0"/>
          <w:marBottom w:val="0"/>
          <w:divBdr>
            <w:top w:val="none" w:sz="0" w:space="0" w:color="auto"/>
            <w:left w:val="none" w:sz="0" w:space="0" w:color="auto"/>
            <w:bottom w:val="none" w:sz="0" w:space="0" w:color="auto"/>
            <w:right w:val="none" w:sz="0" w:space="0" w:color="auto"/>
          </w:divBdr>
        </w:div>
        <w:div w:id="758328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595</Words>
  <Characters>3274</Characters>
  <Application>Microsoft Office Word</Application>
  <DocSecurity>0</DocSecurity>
  <Lines>27</Lines>
  <Paragraphs>7</Paragraphs>
  <ScaleCrop>false</ScaleCrop>
  <Company>Microsoft</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itsui</dc:creator>
  <cp:lastModifiedBy>itsui</cp:lastModifiedBy>
  <cp:revision>5</cp:revision>
  <dcterms:created xsi:type="dcterms:W3CDTF">2016-06-23T19:06:00Z</dcterms:created>
  <dcterms:modified xsi:type="dcterms:W3CDTF">2016-06-23T19:27:00Z</dcterms:modified>
</cp:coreProperties>
</file>